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A8062" w14:textId="3DB040EE"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t>R4-1</w:t>
      </w:r>
      <w:r w:rsidR="00FF2244">
        <w:rPr>
          <w:rFonts w:ascii="Times New Roman" w:hAnsi="Times New Roman"/>
          <w:sz w:val="24"/>
        </w:rPr>
        <w:t>9</w:t>
      </w:r>
      <w:r w:rsidR="00F2618C">
        <w:rPr>
          <w:rFonts w:ascii="Times New Roman" w:hAnsi="Times New Roman"/>
          <w:sz w:val="24"/>
        </w:rPr>
        <w:t>09551</w:t>
      </w:r>
      <w:bookmarkStart w:id="0" w:name="_GoBack"/>
      <w:bookmarkEnd w:id="0"/>
    </w:p>
    <w:p w14:paraId="4E9C0F6F" w14:textId="77777777"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14:paraId="5408FB60" w14:textId="77777777" w:rsidR="005813AA" w:rsidRPr="007535E3" w:rsidRDefault="005813AA" w:rsidP="005813AA">
      <w:pPr>
        <w:pStyle w:val="Footer"/>
        <w:jc w:val="both"/>
        <w:rPr>
          <w:noProof w:val="0"/>
        </w:rPr>
      </w:pPr>
    </w:p>
    <w:p w14:paraId="13B5BC7D" w14:textId="3E0CB605" w:rsidR="006C5B73"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92151">
        <w:rPr>
          <w:rFonts w:ascii="Arial" w:hAnsi="Arial" w:cs="Arial"/>
          <w:sz w:val="24"/>
          <w:lang w:val="en-US" w:eastAsia="zh-CN"/>
        </w:rPr>
        <w:t xml:space="preserve">Further discussion on </w:t>
      </w:r>
      <w:r w:rsidR="006C5B73">
        <w:rPr>
          <w:rFonts w:ascii="Arial" w:hAnsi="Arial" w:cs="Arial"/>
          <w:sz w:val="24"/>
          <w:lang w:val="en-US" w:eastAsia="zh-CN"/>
        </w:rPr>
        <w:t>RACHless handover for NR</w:t>
      </w:r>
    </w:p>
    <w:p w14:paraId="6295C307"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2667C879" w14:textId="7892ED3F"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6689F">
        <w:rPr>
          <w:rFonts w:ascii="Arial" w:hAnsi="Arial" w:cs="Arial"/>
          <w:sz w:val="24"/>
          <w:lang w:val="en-US" w:eastAsia="zh-CN"/>
        </w:rPr>
        <w:t>9.3.2.2</w:t>
      </w:r>
    </w:p>
    <w:p w14:paraId="76829721"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0AECD0A4" w14:textId="77777777" w:rsidR="00E948E9" w:rsidRDefault="005813AA" w:rsidP="002E5998">
      <w:pPr>
        <w:pStyle w:val="Heading1"/>
      </w:pPr>
      <w:r w:rsidRPr="00DA6BF8">
        <w:t>Introduction</w:t>
      </w:r>
    </w:p>
    <w:p w14:paraId="3A0CDC99" w14:textId="77777777" w:rsidR="004469EF" w:rsidRDefault="000D12D7" w:rsidP="004469EF">
      <w:r>
        <w:t xml:space="preserve">A way forward for NR mobility enhancement was agreed in RAN4#91, </w:t>
      </w:r>
      <w:r w:rsidR="006F1021">
        <w:t xml:space="preserve">with </w:t>
      </w:r>
      <w:r>
        <w:t xml:space="preserve"> agreements cover</w:t>
      </w:r>
      <w:r w:rsidR="006F1021">
        <w:t>ing</w:t>
      </w:r>
      <w:r>
        <w:t xml:space="preserve"> RACHless handover enhancement </w:t>
      </w:r>
    </w:p>
    <w:tbl>
      <w:tblPr>
        <w:tblStyle w:val="TableGrid"/>
        <w:tblW w:w="0" w:type="auto"/>
        <w:tblLook w:val="04A0" w:firstRow="1" w:lastRow="0" w:firstColumn="1" w:lastColumn="0" w:noHBand="0" w:noVBand="1"/>
      </w:tblPr>
      <w:tblGrid>
        <w:gridCol w:w="10537"/>
      </w:tblGrid>
      <w:tr w:rsidR="000D12D7" w14:paraId="3BB938E9" w14:textId="77777777" w:rsidTr="000D12D7">
        <w:tc>
          <w:tcPr>
            <w:tcW w:w="10763" w:type="dxa"/>
          </w:tcPr>
          <w:p w14:paraId="1A77BC31" w14:textId="77777777" w:rsidR="000D12D7" w:rsidRDefault="00D204F5" w:rsidP="000D12D7">
            <w:pPr>
              <w:rPr>
                <w:i/>
              </w:rPr>
            </w:pPr>
            <w:hyperlink r:id="rId13" w:history="1">
              <w:r w:rsidR="000D12D7">
                <w:rPr>
                  <w:rStyle w:val="Hyperlink"/>
                  <w:rFonts w:ascii="Arial" w:hAnsi="Arial" w:cs="Arial"/>
                  <w:b/>
                </w:rPr>
                <w:t>R4-1904827</w:t>
              </w:r>
            </w:hyperlink>
            <w:r w:rsidR="000D12D7">
              <w:rPr>
                <w:b/>
              </w:rPr>
              <w:tab/>
              <w:t>Way forward on NR mobility enhancement</w:t>
            </w:r>
            <w:r w:rsidR="000D12D7">
              <w:rPr>
                <w:b/>
              </w:rPr>
              <w:br/>
            </w:r>
            <w:r w:rsidR="000D12D7">
              <w:tab/>
            </w:r>
            <w:r w:rsidR="000D12D7">
              <w:tab/>
            </w:r>
            <w:r w:rsidR="000D12D7">
              <w:tab/>
            </w:r>
            <w:r w:rsidR="000D12D7">
              <w:tab/>
            </w:r>
            <w:r w:rsidR="000D12D7">
              <w:tab/>
            </w:r>
            <w:r w:rsidR="000D12D7">
              <w:tab/>
              <w:t xml:space="preserve">  CR-  rev  Cat:  () v</w:t>
            </w:r>
            <w:r w:rsidR="000D12D7">
              <w:br/>
            </w:r>
            <w:r w:rsidR="000D12D7">
              <w:rPr>
                <w:i/>
              </w:rPr>
              <w:tab/>
            </w:r>
            <w:r w:rsidR="000D12D7">
              <w:rPr>
                <w:i/>
              </w:rPr>
              <w:tab/>
            </w:r>
            <w:r w:rsidR="000D12D7">
              <w:rPr>
                <w:i/>
              </w:rPr>
              <w:tab/>
            </w:r>
            <w:r w:rsidR="000D12D7">
              <w:rPr>
                <w:i/>
              </w:rPr>
              <w:tab/>
            </w:r>
            <w:r w:rsidR="000D12D7">
              <w:rPr>
                <w:i/>
              </w:rPr>
              <w:tab/>
              <w:t>Source: Intel Corporation</w:t>
            </w:r>
          </w:p>
          <w:p w14:paraId="7E7B58C6" w14:textId="77777777" w:rsidR="000D12D7" w:rsidRDefault="000D12D7" w:rsidP="000D12D7">
            <w:pPr>
              <w:rPr>
                <w:rFonts w:ascii="Arial" w:hAnsi="Arial" w:cs="Arial"/>
                <w:b/>
              </w:rPr>
            </w:pPr>
            <w:r>
              <w:rPr>
                <w:rFonts w:ascii="Arial" w:hAnsi="Arial" w:cs="Arial"/>
                <w:b/>
              </w:rPr>
              <w:t xml:space="preserve">Abstract: </w:t>
            </w:r>
          </w:p>
          <w:p w14:paraId="5D098DE0" w14:textId="77777777" w:rsidR="000D12D7" w:rsidRDefault="000D12D7" w:rsidP="000D12D7"/>
          <w:p w14:paraId="5294C495" w14:textId="77777777" w:rsidR="000D12D7" w:rsidRDefault="000D12D7" w:rsidP="000D12D7">
            <w:pPr>
              <w:rPr>
                <w:rFonts w:ascii="Arial" w:hAnsi="Arial" w:cs="Arial"/>
                <w:b/>
              </w:rPr>
            </w:pPr>
            <w:r>
              <w:rPr>
                <w:rFonts w:ascii="Arial" w:hAnsi="Arial" w:cs="Arial"/>
                <w:b/>
              </w:rPr>
              <w:t xml:space="preserve">Discussion: </w:t>
            </w:r>
          </w:p>
          <w:p w14:paraId="30466BC9" w14:textId="77777777" w:rsidR="000D12D7" w:rsidRDefault="000D12D7" w:rsidP="000D12D7">
            <w:pPr>
              <w:rPr>
                <w:lang w:eastAsia="zh-CN"/>
              </w:rPr>
            </w:pPr>
            <w:r>
              <w:rPr>
                <w:highlight w:val="green"/>
                <w:lang w:eastAsia="zh-CN"/>
              </w:rPr>
              <w:t>Agreement: the Slide #2 is just for information.</w:t>
            </w:r>
          </w:p>
          <w:p w14:paraId="18A1C7D4" w14:textId="77777777" w:rsidR="000D12D7" w:rsidRDefault="000D12D7" w:rsidP="000D12D7">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Approved</w:t>
            </w:r>
          </w:p>
          <w:p w14:paraId="117BC046" w14:textId="77777777" w:rsidR="00BA605F" w:rsidRPr="000D12D7" w:rsidRDefault="00970749" w:rsidP="000D12D7">
            <w:pPr>
              <w:numPr>
                <w:ilvl w:val="0"/>
                <w:numId w:val="33"/>
              </w:numPr>
            </w:pPr>
            <w:r w:rsidRPr="000D12D7">
              <w:rPr>
                <w:lang w:val="en-US"/>
              </w:rPr>
              <w:t>RAN4 confirms the feasibility of RACH-less handover in FR1 with zero TA or same TA between source and target cells</w:t>
            </w:r>
          </w:p>
          <w:p w14:paraId="538BF001" w14:textId="77777777" w:rsidR="00BA605F" w:rsidRPr="000D12D7" w:rsidRDefault="00970749" w:rsidP="000D12D7">
            <w:pPr>
              <w:numPr>
                <w:ilvl w:val="1"/>
                <w:numId w:val="33"/>
              </w:numPr>
            </w:pPr>
            <w:r w:rsidRPr="000D12D7">
              <w:rPr>
                <w:lang w:val="en-US"/>
              </w:rPr>
              <w:t>For both intra and inter-frequency scenarios</w:t>
            </w:r>
          </w:p>
          <w:p w14:paraId="3A834781" w14:textId="77777777" w:rsidR="00BA605F" w:rsidRPr="000D12D7" w:rsidRDefault="00970749" w:rsidP="000D12D7">
            <w:pPr>
              <w:numPr>
                <w:ilvl w:val="1"/>
                <w:numId w:val="33"/>
              </w:numPr>
            </w:pPr>
            <w:r w:rsidRPr="000D12D7">
              <w:rPr>
                <w:lang w:val="en-US"/>
              </w:rPr>
              <w:t>For both synchronous and asynchronous deployment</w:t>
            </w:r>
          </w:p>
          <w:p w14:paraId="595B0457" w14:textId="77777777" w:rsidR="00BA605F" w:rsidRPr="000D12D7" w:rsidRDefault="00970749" w:rsidP="000D12D7">
            <w:pPr>
              <w:numPr>
                <w:ilvl w:val="1"/>
                <w:numId w:val="33"/>
              </w:numPr>
            </w:pPr>
            <w:r w:rsidRPr="000D12D7">
              <w:rPr>
                <w:lang w:val="en-US"/>
              </w:rPr>
              <w:t>With same or different SCS in source and target cells</w:t>
            </w:r>
          </w:p>
          <w:p w14:paraId="13C26DB4" w14:textId="77777777" w:rsidR="00BA605F" w:rsidRPr="000D12D7" w:rsidRDefault="00970749" w:rsidP="000D12D7">
            <w:pPr>
              <w:numPr>
                <w:ilvl w:val="1"/>
                <w:numId w:val="33"/>
              </w:numPr>
            </w:pPr>
            <w:r w:rsidRPr="000D12D7">
              <w:t>Feasibility of RACH-less in FR2 is FFS.</w:t>
            </w:r>
          </w:p>
          <w:p w14:paraId="24F73BAE" w14:textId="77777777" w:rsidR="000D12D7" w:rsidRDefault="00970749" w:rsidP="000D12D7">
            <w:pPr>
              <w:numPr>
                <w:ilvl w:val="0"/>
                <w:numId w:val="33"/>
              </w:numPr>
            </w:pPr>
            <w:r w:rsidRPr="000D12D7">
              <w:t>Interested companies are encouraged to provide analysis on RACH-less handover with different TA</w:t>
            </w:r>
          </w:p>
        </w:tc>
      </w:tr>
    </w:tbl>
    <w:p w14:paraId="4BC90D0C" w14:textId="77777777" w:rsidR="000D12D7" w:rsidRDefault="000D12D7" w:rsidP="004469EF">
      <w:r>
        <w:t xml:space="preserve"> </w:t>
      </w:r>
    </w:p>
    <w:p w14:paraId="7B066D5B" w14:textId="77777777" w:rsidR="007F68FE" w:rsidRDefault="007F68FE" w:rsidP="004469EF">
      <w:r>
        <w:t>An LS was also agreed to RAN2 which covers some agreements for simultaneous RX/TX and RACHless handover.</w:t>
      </w:r>
      <w:r w:rsidR="000A624E">
        <w:t xml:space="preserve"> The technical content is aligned with the way forward.</w:t>
      </w:r>
    </w:p>
    <w:tbl>
      <w:tblPr>
        <w:tblStyle w:val="TableGrid"/>
        <w:tblW w:w="0" w:type="auto"/>
        <w:tblLook w:val="04A0" w:firstRow="1" w:lastRow="0" w:firstColumn="1" w:lastColumn="0" w:noHBand="0" w:noVBand="1"/>
      </w:tblPr>
      <w:tblGrid>
        <w:gridCol w:w="10537"/>
      </w:tblGrid>
      <w:tr w:rsidR="007F68FE" w14:paraId="4EA8297F" w14:textId="77777777" w:rsidTr="007F68FE">
        <w:tc>
          <w:tcPr>
            <w:tcW w:w="10763" w:type="dxa"/>
          </w:tcPr>
          <w:p w14:paraId="409E40C2" w14:textId="77777777" w:rsidR="007F68FE" w:rsidRPr="007F68FE" w:rsidRDefault="007F68FE" w:rsidP="007F68FE">
            <w:pPr>
              <w:pStyle w:val="Header"/>
              <w:spacing w:after="120"/>
              <w:jc w:val="both"/>
              <w:rPr>
                <w:rFonts w:ascii="Arial" w:hAnsi="Arial" w:cs="Arial"/>
                <w:b w:val="0"/>
                <w:lang w:val="en-US" w:eastAsia="en-US"/>
              </w:rPr>
            </w:pPr>
            <w:r w:rsidRPr="007F68FE">
              <w:rPr>
                <w:rFonts w:ascii="Arial" w:hAnsi="Arial" w:cs="Arial"/>
                <w:b w:val="0"/>
              </w:rPr>
              <w:t xml:space="preserve">RAN4 thanks RAN2 for the LS on NR mobility enhancement. In RAN4 #90bis, RAN4 discussed the replies in </w:t>
            </w:r>
            <w:r w:rsidRPr="007F68FE">
              <w:rPr>
                <w:rFonts w:ascii="Arial" w:hAnsi="Arial" w:cs="Arial"/>
                <w:b w:val="0"/>
                <w:lang w:val="en-US"/>
              </w:rPr>
              <w:t>R4-1902030 (R2-1902601) and R4-166817 (R2-166016) with focus on the difference between LTE and NR and reached the following agreements:</w:t>
            </w:r>
          </w:p>
          <w:p w14:paraId="12272055" w14:textId="77777777" w:rsidR="007F68FE" w:rsidRPr="007F68FE" w:rsidRDefault="007F68FE" w:rsidP="007F68FE">
            <w:pPr>
              <w:pStyle w:val="Header"/>
              <w:widowControl/>
              <w:numPr>
                <w:ilvl w:val="0"/>
                <w:numId w:val="34"/>
              </w:numPr>
              <w:tabs>
                <w:tab w:val="center" w:pos="4153"/>
                <w:tab w:val="right" w:pos="8306"/>
              </w:tabs>
              <w:spacing w:after="120"/>
              <w:jc w:val="both"/>
              <w:rPr>
                <w:rFonts w:ascii="Arial" w:hAnsi="Arial" w:cs="Arial"/>
                <w:b w:val="0"/>
              </w:rPr>
            </w:pPr>
            <w:r w:rsidRPr="007F68FE">
              <w:rPr>
                <w:rFonts w:ascii="Arial" w:hAnsi="Arial" w:cs="Arial"/>
                <w:b w:val="0"/>
              </w:rPr>
              <w:t>the replies in R4-1902030 regarding handover/SCG change with simultaneous transmission/reception with source and target cells are also applicable for NR in FR1 on conditions that UL waveform (CP-OFDM vs. SC-OFDM) is the same in both serving and target cells, and SCS is the same for SSB and data in both serving and target cells.</w:t>
            </w:r>
          </w:p>
          <w:p w14:paraId="021005CB" w14:textId="77777777"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FFS if the SCS is different among SSB and data in serving and target cell.</w:t>
            </w:r>
          </w:p>
          <w:p w14:paraId="3BBAF6F7" w14:textId="77777777"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FFS if different waveforms for serving and target cells</w:t>
            </w:r>
          </w:p>
          <w:p w14:paraId="0EA140BF" w14:textId="77777777"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Handover with simultaneous transmission/reception with source and target cells in FR2 is not feasible.</w:t>
            </w:r>
          </w:p>
          <w:p w14:paraId="5B3D8FCA" w14:textId="77777777" w:rsidR="007F68FE" w:rsidRPr="007F68FE" w:rsidRDefault="007F68FE" w:rsidP="007F68FE">
            <w:pPr>
              <w:pStyle w:val="Header"/>
              <w:widowControl/>
              <w:numPr>
                <w:ilvl w:val="0"/>
                <w:numId w:val="34"/>
              </w:numPr>
              <w:tabs>
                <w:tab w:val="center" w:pos="4153"/>
                <w:tab w:val="right" w:pos="8306"/>
              </w:tabs>
              <w:spacing w:after="120"/>
              <w:jc w:val="both"/>
              <w:rPr>
                <w:rFonts w:ascii="Arial" w:hAnsi="Arial" w:cs="Arial"/>
                <w:b w:val="0"/>
              </w:rPr>
            </w:pPr>
            <w:r w:rsidRPr="007F68FE">
              <w:rPr>
                <w:rFonts w:ascii="Arial" w:hAnsi="Arial" w:cs="Arial"/>
                <w:b w:val="0"/>
              </w:rPr>
              <w:t xml:space="preserve">RACH-less handover for NR with zero or equal TA on FR1 is feasible for intra and inter frequency in synchronous and asynchronous scenarios. </w:t>
            </w:r>
          </w:p>
          <w:p w14:paraId="63C21F42" w14:textId="77777777"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FFS if RACH-less handover in FR2 is feasible</w:t>
            </w:r>
          </w:p>
          <w:p w14:paraId="29360FE1" w14:textId="77777777"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lastRenderedPageBreak/>
              <w:t>FFS if RACH-less handover with different TA is feasible.</w:t>
            </w:r>
          </w:p>
          <w:p w14:paraId="1A0BE99B" w14:textId="77777777" w:rsidR="007F68FE" w:rsidRPr="007F68FE" w:rsidRDefault="007F68FE" w:rsidP="007F68FE">
            <w:pPr>
              <w:pStyle w:val="Header"/>
              <w:spacing w:after="120"/>
              <w:jc w:val="both"/>
              <w:rPr>
                <w:rFonts w:ascii="Arial" w:hAnsi="Arial" w:cs="Arial"/>
                <w:b w:val="0"/>
              </w:rPr>
            </w:pPr>
          </w:p>
          <w:p w14:paraId="560DA1FE" w14:textId="77777777" w:rsidR="007F68FE" w:rsidRDefault="007F68FE" w:rsidP="007F68FE">
            <w:pPr>
              <w:pStyle w:val="Header"/>
              <w:spacing w:after="120"/>
              <w:jc w:val="both"/>
              <w:rPr>
                <w:rFonts w:ascii="Arial" w:hAnsi="Arial" w:cs="Arial"/>
              </w:rPr>
            </w:pPr>
            <w:r w:rsidRPr="007F68FE">
              <w:rPr>
                <w:rFonts w:ascii="Arial" w:hAnsi="Arial" w:cs="Arial"/>
                <w:b w:val="0"/>
              </w:rPr>
              <w:t>Note: definitions of intra-frequency and inter-frequency in NR are specified in TS38.133 section 9.2.1 and 9.3.1 respectively.</w:t>
            </w:r>
          </w:p>
          <w:p w14:paraId="640C8070" w14:textId="77777777" w:rsidR="007F68FE" w:rsidRDefault="007F68FE" w:rsidP="004469EF"/>
        </w:tc>
      </w:tr>
    </w:tbl>
    <w:p w14:paraId="244CBAB1" w14:textId="77777777" w:rsidR="007F68FE" w:rsidRDefault="007F68FE" w:rsidP="004469EF"/>
    <w:p w14:paraId="2EA2CBB4" w14:textId="77777777" w:rsidR="000A624E" w:rsidRPr="004469EF" w:rsidRDefault="000A624E" w:rsidP="004469EF">
      <w:r>
        <w:t xml:space="preserve">In this contribution we address the FFS items, namely whether </w:t>
      </w:r>
      <w:r w:rsidRPr="000A624E">
        <w:t>RACH-less handover with different TA is feasible</w:t>
      </w:r>
      <w:r>
        <w:t xml:space="preserve"> and if </w:t>
      </w:r>
      <w:r w:rsidRPr="007F68FE">
        <w:rPr>
          <w:rFonts w:ascii="Arial" w:hAnsi="Arial" w:cs="Arial"/>
        </w:rPr>
        <w:t>RACH-less handover in FR2 is feasible</w:t>
      </w:r>
      <w:r>
        <w:rPr>
          <w:rFonts w:ascii="Arial" w:hAnsi="Arial" w:cs="Arial"/>
        </w:rPr>
        <w:t xml:space="preserve"> from a RAN4 point of view.</w:t>
      </w:r>
    </w:p>
    <w:p w14:paraId="366D8318" w14:textId="77777777" w:rsidR="0084532A" w:rsidRPr="0084532A" w:rsidRDefault="005813AA" w:rsidP="0084532A">
      <w:pPr>
        <w:pStyle w:val="Heading1"/>
        <w:jc w:val="both"/>
        <w:rPr>
          <w:rFonts w:eastAsia="SimSun"/>
          <w:lang w:val="en-US" w:eastAsia="zh-CN"/>
        </w:rPr>
      </w:pPr>
      <w:r>
        <w:rPr>
          <w:rFonts w:eastAsia="SimSun"/>
          <w:lang w:val="en-US" w:eastAsia="zh-CN"/>
        </w:rPr>
        <w:t>Discussion</w:t>
      </w:r>
    </w:p>
    <w:p w14:paraId="224B0D3B" w14:textId="77777777" w:rsidR="00764421" w:rsidRDefault="00764421" w:rsidP="00764421">
      <w:r>
        <w:t xml:space="preserve">RACH-less handover and SCG change was introduced as part of the mobility enhancements in LTE Rel-14. The feature consists of that Msg1 and Msg2 are skipped when the UE accesses the target cell and the first transmission is instead the message confirming the completion of the handover, </w:t>
      </w:r>
      <w:r>
        <w:rPr>
          <w:i/>
        </w:rPr>
        <w:t>RRCConnectionReconfigurationComplete</w:t>
      </w:r>
      <w:r>
        <w:t xml:space="preserve"> in LTE and </w:t>
      </w:r>
      <w:r>
        <w:rPr>
          <w:i/>
        </w:rPr>
        <w:t>RRCReconfigurationComplete</w:t>
      </w:r>
      <w:r>
        <w:t xml:space="preserve"> in NR (i.e. </w:t>
      </w:r>
      <w:r>
        <w:rPr>
          <w:lang w:val="en-US"/>
        </w:rPr>
        <w:t>the RRC message which is normally included in Msg3 in a regular RACH-based handover)</w:t>
      </w:r>
      <w:r>
        <w:t>.</w:t>
      </w:r>
    </w:p>
    <w:p w14:paraId="34475E49" w14:textId="77777777" w:rsidR="00764421" w:rsidRDefault="00764421" w:rsidP="00764421">
      <w:r>
        <w:t xml:space="preserve">A UE is configured with a RACH-less handover through the inclusion of </w:t>
      </w:r>
      <w:r>
        <w:rPr>
          <w:i/>
        </w:rPr>
        <w:t>rach-Skip-r14</w:t>
      </w:r>
      <w:r>
        <w:t xml:space="preserve"> in the </w:t>
      </w:r>
      <w:r>
        <w:rPr>
          <w:i/>
        </w:rPr>
        <w:t>MobilityControlInfo</w:t>
      </w:r>
      <w:r>
        <w:t xml:space="preserve"> IE in the </w:t>
      </w:r>
      <w:r>
        <w:rPr>
          <w:i/>
        </w:rPr>
        <w:t>RRCConnectionReconfiguration</w:t>
      </w:r>
      <w:r>
        <w:t xml:space="preserve"> message. </w:t>
      </w:r>
      <w:r>
        <w:rPr>
          <w:i/>
        </w:rPr>
        <w:t xml:space="preserve">rach-Skip-r14 </w:t>
      </w:r>
      <w:r>
        <w:t>has the contents as seen below, i.e. a Timing Advance (TA) value and optionally configured (pre-allocated) UL grants for the UE’s first transmission in the target cell.</w:t>
      </w:r>
    </w:p>
    <w:p w14:paraId="30F8E5CB" w14:textId="77777777" w:rsidR="00764421" w:rsidRDefault="00764421" w:rsidP="00764421">
      <w:pPr>
        <w:pStyle w:val="PL"/>
        <w:shd w:val="clear" w:color="auto" w:fill="E6E6E6"/>
      </w:pPr>
      <w:r>
        <w:t>RACH-Skip-r14 ::=</w:t>
      </w:r>
      <w:r>
        <w:tab/>
      </w:r>
      <w:r>
        <w:tab/>
      </w:r>
      <w:r>
        <w:tab/>
      </w:r>
      <w:r>
        <w:tab/>
      </w:r>
      <w:r>
        <w:tab/>
        <w:t>SEQUENCE {</w:t>
      </w:r>
    </w:p>
    <w:p w14:paraId="57947D54" w14:textId="77777777" w:rsidR="00764421" w:rsidRDefault="00764421" w:rsidP="00764421">
      <w:pPr>
        <w:pStyle w:val="PL"/>
        <w:shd w:val="clear" w:color="auto" w:fill="E6E6E6"/>
      </w:pPr>
      <w:r>
        <w:tab/>
        <w:t>targetTA-r14</w:t>
      </w:r>
      <w:r>
        <w:tab/>
      </w:r>
      <w:r>
        <w:tab/>
      </w:r>
      <w:r>
        <w:tab/>
      </w:r>
      <w:r>
        <w:tab/>
      </w:r>
      <w:r>
        <w:tab/>
        <w:t>CHOICE {</w:t>
      </w:r>
    </w:p>
    <w:p w14:paraId="7698DE86" w14:textId="77777777" w:rsidR="00764421" w:rsidRDefault="00764421" w:rsidP="00764421">
      <w:pPr>
        <w:pStyle w:val="PL"/>
        <w:shd w:val="clear" w:color="auto" w:fill="E6E6E6"/>
        <w:rPr>
          <w:lang w:val="sv-SE"/>
        </w:rPr>
      </w:pPr>
      <w:r>
        <w:tab/>
      </w:r>
      <w:r>
        <w:tab/>
      </w:r>
      <w:r>
        <w:rPr>
          <w:lang w:val="sv-SE"/>
        </w:rPr>
        <w:t>ta0-r14</w:t>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619DA0CE" w14:textId="77777777" w:rsidR="00764421" w:rsidRDefault="00764421" w:rsidP="00764421">
      <w:pPr>
        <w:pStyle w:val="PL"/>
        <w:shd w:val="clear" w:color="auto" w:fill="E6E6E6"/>
        <w:rPr>
          <w:lang w:val="sv-SE"/>
        </w:rPr>
      </w:pPr>
      <w:r>
        <w:rPr>
          <w:lang w:val="sv-SE"/>
        </w:rPr>
        <w:tab/>
      </w:r>
      <w:r>
        <w:rPr>
          <w:lang w:val="sv-SE"/>
        </w:rPr>
        <w:tab/>
        <w:t>mcg-PTAG-r14</w:t>
      </w:r>
      <w:r>
        <w:rPr>
          <w:lang w:val="sv-SE"/>
        </w:rPr>
        <w:tab/>
      </w:r>
      <w:r>
        <w:rPr>
          <w:lang w:val="sv-SE"/>
        </w:rPr>
        <w:tab/>
      </w:r>
      <w:r>
        <w:rPr>
          <w:lang w:val="sv-SE"/>
        </w:rPr>
        <w:tab/>
      </w:r>
      <w:r>
        <w:rPr>
          <w:lang w:val="sv-SE"/>
        </w:rPr>
        <w:tab/>
      </w:r>
      <w:r>
        <w:rPr>
          <w:lang w:val="sv-SE"/>
        </w:rPr>
        <w:tab/>
      </w:r>
      <w:r>
        <w:rPr>
          <w:lang w:val="sv-SE"/>
        </w:rPr>
        <w:tab/>
        <w:t>NULL,</w:t>
      </w:r>
    </w:p>
    <w:p w14:paraId="772EEEDA" w14:textId="77777777" w:rsidR="00764421" w:rsidRDefault="00764421" w:rsidP="00764421">
      <w:pPr>
        <w:pStyle w:val="PL"/>
        <w:shd w:val="clear" w:color="auto" w:fill="E6E6E6"/>
        <w:rPr>
          <w:lang w:val="sv-SE"/>
        </w:rPr>
      </w:pPr>
      <w:r>
        <w:rPr>
          <w:lang w:val="sv-SE"/>
        </w:rPr>
        <w:tab/>
      </w:r>
      <w:r>
        <w:rPr>
          <w:lang w:val="sv-SE"/>
        </w:rPr>
        <w:tab/>
        <w:t>scg-PTAG-r14</w:t>
      </w:r>
      <w:r>
        <w:rPr>
          <w:lang w:val="sv-SE"/>
        </w:rPr>
        <w:tab/>
      </w:r>
      <w:r>
        <w:rPr>
          <w:lang w:val="sv-SE"/>
        </w:rPr>
        <w:tab/>
      </w:r>
      <w:r>
        <w:rPr>
          <w:lang w:val="sv-SE"/>
        </w:rPr>
        <w:tab/>
      </w:r>
      <w:r>
        <w:rPr>
          <w:lang w:val="sv-SE"/>
        </w:rPr>
        <w:tab/>
      </w:r>
      <w:r>
        <w:rPr>
          <w:lang w:val="sv-SE"/>
        </w:rPr>
        <w:tab/>
      </w:r>
      <w:r>
        <w:rPr>
          <w:lang w:val="sv-SE"/>
        </w:rPr>
        <w:tab/>
        <w:t>NULL,</w:t>
      </w:r>
    </w:p>
    <w:p w14:paraId="5E8E103D" w14:textId="77777777" w:rsidR="00764421" w:rsidRDefault="00764421" w:rsidP="00764421">
      <w:pPr>
        <w:pStyle w:val="PL"/>
        <w:shd w:val="clear" w:color="auto" w:fill="E6E6E6"/>
        <w:rPr>
          <w:lang w:val="sv-SE"/>
        </w:rPr>
      </w:pPr>
      <w:r>
        <w:rPr>
          <w:lang w:val="sv-SE"/>
        </w:rPr>
        <w:tab/>
      </w:r>
      <w:r>
        <w:rPr>
          <w:lang w:val="sv-SE"/>
        </w:rPr>
        <w:tab/>
        <w:t>mcg-STAG-r14</w:t>
      </w:r>
      <w:r>
        <w:rPr>
          <w:lang w:val="sv-SE"/>
        </w:rPr>
        <w:tab/>
      </w:r>
      <w:r>
        <w:rPr>
          <w:lang w:val="sv-SE"/>
        </w:rPr>
        <w:tab/>
      </w:r>
      <w:r>
        <w:rPr>
          <w:lang w:val="sv-SE"/>
        </w:rPr>
        <w:tab/>
      </w:r>
      <w:r>
        <w:rPr>
          <w:lang w:val="sv-SE"/>
        </w:rPr>
        <w:tab/>
      </w:r>
      <w:r>
        <w:rPr>
          <w:lang w:val="sv-SE"/>
        </w:rPr>
        <w:tab/>
        <w:t>STAG-Id-r11,</w:t>
      </w:r>
    </w:p>
    <w:p w14:paraId="0B11D57F" w14:textId="77777777" w:rsidR="00764421" w:rsidRDefault="00764421" w:rsidP="00764421">
      <w:pPr>
        <w:pStyle w:val="PL"/>
        <w:shd w:val="clear" w:color="auto" w:fill="E6E6E6"/>
        <w:rPr>
          <w:lang w:val="sv-SE"/>
        </w:rPr>
      </w:pPr>
      <w:r>
        <w:rPr>
          <w:lang w:val="sv-SE"/>
        </w:rPr>
        <w:tab/>
      </w:r>
      <w:r>
        <w:rPr>
          <w:lang w:val="sv-SE"/>
        </w:rPr>
        <w:tab/>
        <w:t>scg-STAG-r14</w:t>
      </w:r>
      <w:r>
        <w:rPr>
          <w:lang w:val="sv-SE"/>
        </w:rPr>
        <w:tab/>
      </w:r>
      <w:r>
        <w:rPr>
          <w:lang w:val="sv-SE"/>
        </w:rPr>
        <w:tab/>
      </w:r>
      <w:r>
        <w:rPr>
          <w:lang w:val="sv-SE"/>
        </w:rPr>
        <w:tab/>
      </w:r>
      <w:r>
        <w:rPr>
          <w:lang w:val="sv-SE"/>
        </w:rPr>
        <w:tab/>
      </w:r>
      <w:r>
        <w:rPr>
          <w:lang w:val="sv-SE"/>
        </w:rPr>
        <w:tab/>
        <w:t>STAG-Id-r11</w:t>
      </w:r>
    </w:p>
    <w:p w14:paraId="46381ABD" w14:textId="77777777" w:rsidR="00764421" w:rsidRDefault="00764421" w:rsidP="00764421">
      <w:pPr>
        <w:pStyle w:val="PL"/>
        <w:shd w:val="clear" w:color="auto" w:fill="E6E6E6"/>
        <w:rPr>
          <w:lang w:val="en-US"/>
        </w:rPr>
      </w:pPr>
      <w:r>
        <w:rPr>
          <w:lang w:val="sv-SE"/>
        </w:rPr>
        <w:tab/>
      </w:r>
      <w:r>
        <w:t>},</w:t>
      </w:r>
    </w:p>
    <w:p w14:paraId="7166A7F0" w14:textId="77777777" w:rsidR="00764421" w:rsidRDefault="00764421" w:rsidP="00764421">
      <w:pPr>
        <w:pStyle w:val="PL"/>
        <w:shd w:val="clear" w:color="auto" w:fill="E6E6E6"/>
      </w:pPr>
      <w:r>
        <w:tab/>
        <w:t>ul-ConfigInfo-r14</w:t>
      </w:r>
      <w:r>
        <w:tab/>
      </w:r>
      <w:r>
        <w:tab/>
      </w:r>
      <w:r>
        <w:tab/>
      </w:r>
      <w:r>
        <w:tab/>
        <w:t>SEQUENCE {</w:t>
      </w:r>
    </w:p>
    <w:p w14:paraId="0A4595E1" w14:textId="77777777" w:rsidR="00764421" w:rsidRDefault="00764421" w:rsidP="00764421">
      <w:pPr>
        <w:pStyle w:val="PL"/>
        <w:shd w:val="clear" w:color="auto" w:fill="E6E6E6"/>
      </w:pPr>
      <w:r>
        <w:tab/>
      </w:r>
      <w:r>
        <w:tab/>
        <w:t>numberOfConfUL-Processes-r14</w:t>
      </w:r>
      <w:r>
        <w:tab/>
      </w:r>
      <w:r>
        <w:tab/>
      </w:r>
      <w:r>
        <w:tab/>
        <w:t>INTEGER (1..8),</w:t>
      </w:r>
    </w:p>
    <w:p w14:paraId="2A939D99" w14:textId="77777777" w:rsidR="00764421" w:rsidRDefault="00764421" w:rsidP="00764421">
      <w:pPr>
        <w:pStyle w:val="PL"/>
        <w:shd w:val="clear" w:color="auto" w:fill="E6E6E6"/>
      </w:pPr>
      <w:r>
        <w:tab/>
      </w:r>
      <w:r>
        <w:tab/>
        <w:t>ul-SchedInterval-r14</w:t>
      </w:r>
      <w:r>
        <w:tab/>
      </w:r>
      <w:r>
        <w:tab/>
      </w:r>
      <w:r>
        <w:tab/>
        <w:t>ENUMERATED {sf2, sf5, sf10},</w:t>
      </w:r>
    </w:p>
    <w:p w14:paraId="7C11CDA5" w14:textId="77777777" w:rsidR="00764421" w:rsidRDefault="00764421" w:rsidP="00764421">
      <w:pPr>
        <w:pStyle w:val="PL"/>
        <w:shd w:val="clear" w:color="auto" w:fill="E6E6E6"/>
      </w:pPr>
      <w:r>
        <w:tab/>
      </w:r>
      <w:r>
        <w:tab/>
        <w:t>ul-StartSubframe-r14</w:t>
      </w:r>
      <w:r>
        <w:tab/>
      </w:r>
      <w:r>
        <w:tab/>
      </w:r>
      <w:r>
        <w:tab/>
        <w:t>INTEGER (0..9),</w:t>
      </w:r>
    </w:p>
    <w:p w14:paraId="520B35B1" w14:textId="77777777" w:rsidR="00764421" w:rsidRDefault="00764421" w:rsidP="00764421">
      <w:pPr>
        <w:pStyle w:val="PL"/>
        <w:shd w:val="clear" w:color="auto" w:fill="E6E6E6"/>
      </w:pPr>
      <w:r>
        <w:tab/>
      </w:r>
      <w:r>
        <w:tab/>
        <w:t>ul-Grant-r14</w:t>
      </w:r>
      <w:r>
        <w:tab/>
      </w:r>
      <w:r>
        <w:tab/>
      </w:r>
      <w:r>
        <w:tab/>
      </w:r>
      <w:r>
        <w:tab/>
      </w:r>
      <w:r>
        <w:tab/>
        <w:t>BIT STRING (SIZE (16))</w:t>
      </w:r>
    </w:p>
    <w:p w14:paraId="13179FCB" w14:textId="77777777" w:rsidR="00764421" w:rsidRDefault="00764421" w:rsidP="0076442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0C59F615" w14:textId="77777777" w:rsidR="00764421" w:rsidRDefault="00764421" w:rsidP="00764421">
      <w:pPr>
        <w:pStyle w:val="PL"/>
        <w:shd w:val="clear" w:color="auto" w:fill="E6E6E6"/>
      </w:pPr>
      <w:r>
        <w:t>}</w:t>
      </w:r>
    </w:p>
    <w:p w14:paraId="7242341B" w14:textId="77777777" w:rsidR="00764421" w:rsidRDefault="00764421" w:rsidP="00764421">
      <w:pPr>
        <w:rPr>
          <w:lang w:val="en-US"/>
        </w:rPr>
      </w:pPr>
    </w:p>
    <w:p w14:paraId="70D5DDA7" w14:textId="77777777" w:rsidR="00764421" w:rsidRDefault="00764421" w:rsidP="00764421">
      <w:pPr>
        <w:rPr>
          <w:highlight w:val="yellow"/>
        </w:rPr>
      </w:pPr>
      <w:r>
        <w:t xml:space="preserve">Pre-allocated UL grants can be configured with </w:t>
      </w:r>
      <w:r>
        <w:rPr>
          <w:i/>
        </w:rPr>
        <w:t>ul-SchedInterval-r14</w:t>
      </w:r>
      <w:r>
        <w:t>. Once the UE has entered the target cell it will thus be able to transmit the Msg3 (</w:t>
      </w:r>
      <w:r>
        <w:rPr>
          <w:i/>
        </w:rPr>
        <w:t>RRCConnectionReconfigurationComplete</w:t>
      </w:r>
      <w:r>
        <w:t xml:space="preserve"> message) in the first available pre-allocated UL grant, where the typical interruption thus will depend on the periodicity of the UL grants. The more frequent the allocations, the shorter interruption times will thus typically be achieved.</w:t>
      </w:r>
    </w:p>
    <w:p w14:paraId="57A53498" w14:textId="77777777" w:rsidR="00764421" w:rsidRDefault="00764421" w:rsidP="00764421">
      <w:r>
        <w:t>If pre-allocated UL grants for Msg3 transmission (</w:t>
      </w:r>
      <w:r>
        <w:rPr>
          <w:i/>
        </w:rPr>
        <w:t>RRCConnectionReconfigurationComplete</w:t>
      </w:r>
      <w:r>
        <w:t xml:space="preserve"> message) are not configured in the </w:t>
      </w:r>
      <w:r>
        <w:rPr>
          <w:i/>
        </w:rPr>
        <w:t>RRCConnectionReconfiguration</w:t>
      </w:r>
      <w:r>
        <w:t xml:space="preserve"> message, the UE is instead provided with UL grants through PDCCH scheduling in the target cell without preceding scheduling request.</w:t>
      </w:r>
    </w:p>
    <w:p w14:paraId="77DF9ED4" w14:textId="77777777" w:rsidR="004F1EFE" w:rsidRDefault="004F1EFE" w:rsidP="004F1EFE">
      <w:pPr>
        <w:pStyle w:val="Heading2"/>
      </w:pPr>
      <w:r>
        <w:t>Feasibility of Calculated TA</w:t>
      </w:r>
    </w:p>
    <w:p w14:paraId="58DD35A2" w14:textId="77777777" w:rsidR="00764421" w:rsidRDefault="00764421" w:rsidP="00764421">
      <w:r>
        <w:t xml:space="preserve">Since the Timing Advance (TA) value to use in the target cell cannot be determined through the RACH procedure, the UE is provided with the TA value through the </w:t>
      </w:r>
      <w:r>
        <w:rPr>
          <w:i/>
        </w:rPr>
        <w:t>targetTA-r14</w:t>
      </w:r>
      <w:r>
        <w:t xml:space="preserve"> in the </w:t>
      </w:r>
      <w:r>
        <w:rPr>
          <w:i/>
        </w:rPr>
        <w:t>RRCConnectionReconfiguration</w:t>
      </w:r>
      <w:r>
        <w:t xml:space="preserve"> message. The support for RACH-less handover (and RACH-less SCG change) is thus limited to cells where the TA value is known, i.e. to cells that have the same TA value as a current PCell, PSCell or SCell, or to target cells that are small enough for TA to always be 0.</w:t>
      </w:r>
    </w:p>
    <w:p w14:paraId="395F6331" w14:textId="74BA2EB5" w:rsidR="00F329D4" w:rsidRPr="00355C37" w:rsidRDefault="000A624E" w:rsidP="000A624E">
      <w:pPr>
        <w:rPr>
          <w:lang w:val="en-US" w:eastAsia="zh-CN"/>
        </w:rPr>
      </w:pPr>
      <w:r w:rsidRPr="00D25092">
        <w:rPr>
          <w:u w:val="single"/>
          <w:lang w:val="en-US" w:eastAsia="zh-CN"/>
        </w:rPr>
        <w:t>Zero TA</w:t>
      </w:r>
      <w:r>
        <w:rPr>
          <w:lang w:val="en-US" w:eastAsia="zh-CN"/>
        </w:rPr>
        <w:t xml:space="preserve"> can only be applied if </w:t>
      </w:r>
      <w:r w:rsidR="0016689F">
        <w:rPr>
          <w:lang w:val="en-US" w:eastAsia="zh-CN"/>
        </w:rPr>
        <w:t>the UE is close to the</w:t>
      </w:r>
      <w:r>
        <w:rPr>
          <w:lang w:val="en-US" w:eastAsia="zh-CN"/>
        </w:rPr>
        <w:t xml:space="preserve"> target cell </w:t>
      </w:r>
      <w:r w:rsidR="0016689F">
        <w:rPr>
          <w:lang w:val="en-US" w:eastAsia="zh-CN"/>
        </w:rPr>
        <w:t>(so has a</w:t>
      </w:r>
      <w:r>
        <w:rPr>
          <w:lang w:val="en-US" w:eastAsia="zh-CN"/>
        </w:rPr>
        <w:t xml:space="preserve"> small propagation delay</w:t>
      </w:r>
      <w:r w:rsidR="0016689F">
        <w:rPr>
          <w:lang w:val="en-US" w:eastAsia="zh-CN"/>
        </w:rPr>
        <w:t>)</w:t>
      </w:r>
      <w:r>
        <w:rPr>
          <w:lang w:val="en-US" w:eastAsia="zh-CN"/>
        </w:rPr>
        <w:t xml:space="preserve"> and are well time aligned with each other. In </w:t>
      </w:r>
      <w:r w:rsidR="00E21864">
        <w:rPr>
          <w:lang w:val="en-US" w:eastAsia="zh-CN"/>
        </w:rPr>
        <w:t>general,</w:t>
      </w:r>
      <w:r>
        <w:rPr>
          <w:lang w:val="en-US" w:eastAsia="zh-CN"/>
        </w:rPr>
        <w:t xml:space="preserve"> then, zero TA handover can only be used in small cells which synchronized with each other. The LTE cyclic prefix duration is ~4.7us which represents 1409m if we assume free space propagation at the speed of light. This means that if we apply zero TA, by the time the UE reaches ~704.5m from the serving eNB the UE’s transmission would lose orthogonality with other UEs. Considering that cyclic prefix also needs to account for multipath effects, it can be seen that zero TA cannot be applied with ISDs greater than of the order of a few hundred metres, regardless of how well synchronized the source and target cell are.</w:t>
      </w:r>
      <w:r w:rsidR="00764421">
        <w:rPr>
          <w:lang w:val="en-US" w:eastAsia="zh-CN"/>
        </w:rPr>
        <w:t xml:space="preserve"> In practice source and target cells may not be perfectly synced which further reduces the budget for scenarios where zero TA can be used.</w:t>
      </w:r>
    </w:p>
    <w:p w14:paraId="1B6D1263" w14:textId="77777777" w:rsidR="005101F3" w:rsidRDefault="00764421" w:rsidP="006B6666">
      <w:pPr>
        <w:rPr>
          <w:lang w:val="en-US" w:eastAsia="zh-CN"/>
        </w:rPr>
      </w:pPr>
      <w:r w:rsidRPr="00D25092">
        <w:rPr>
          <w:u w:val="single"/>
          <w:lang w:val="en-US" w:eastAsia="zh-CN"/>
        </w:rPr>
        <w:lastRenderedPageBreak/>
        <w:t>Equal TA</w:t>
      </w:r>
      <w:r>
        <w:rPr>
          <w:lang w:val="en-US" w:eastAsia="zh-CN"/>
        </w:rPr>
        <w:t xml:space="preserve"> in larger cells could be applied when it is known that the propagation delay to source and target cells is equal. This corresponds to knowing the UE location, or at least knowing that it is located approximately equidistantly between source and target cells. Although theoretically this is where handover should occur if the downlink transmission power of the two nodes is </w:t>
      </w:r>
      <w:r w:rsidR="00D25092">
        <w:rPr>
          <w:lang w:val="en-US" w:eastAsia="zh-CN"/>
        </w:rPr>
        <w:t>the same</w:t>
      </w:r>
      <w:r>
        <w:rPr>
          <w:lang w:val="en-US" w:eastAsia="zh-CN"/>
        </w:rPr>
        <w:t xml:space="preserve">, </w:t>
      </w:r>
      <w:r w:rsidR="00D25092">
        <w:rPr>
          <w:lang w:val="en-US" w:eastAsia="zh-CN"/>
        </w:rPr>
        <w:t>in practice due to hysteresis and multipath propagation, the handover may not occur at the theoretical point.</w:t>
      </w:r>
      <w:r w:rsidR="006408C1">
        <w:rPr>
          <w:lang w:val="en-US" w:eastAsia="zh-CN"/>
        </w:rPr>
        <w:t xml:space="preserve"> Hence </w:t>
      </w:r>
      <w:r w:rsidR="00553067">
        <w:rPr>
          <w:lang w:val="en-US" w:eastAsia="zh-CN"/>
        </w:rPr>
        <w:t>equal TA is not a safe assumption in many practical handover scenarios and deployments.</w:t>
      </w:r>
    </w:p>
    <w:p w14:paraId="426733A9" w14:textId="77777777" w:rsidR="00553067" w:rsidRDefault="00553067" w:rsidP="006B6666">
      <w:pPr>
        <w:rPr>
          <w:b/>
          <w:lang w:val="en-US" w:eastAsia="zh-CN"/>
        </w:rPr>
      </w:pPr>
      <w:r>
        <w:rPr>
          <w:b/>
          <w:lang w:val="en-US" w:eastAsia="zh-CN"/>
        </w:rPr>
        <w:t>Observation 1: Zero or equal TA RACHless handover is targeted to special scenarios and is not a general handover enhancement.</w:t>
      </w:r>
    </w:p>
    <w:p w14:paraId="0C35B01E" w14:textId="5954EBD2" w:rsidR="00553067" w:rsidRDefault="00553067" w:rsidP="006B6666">
      <w:pPr>
        <w:rPr>
          <w:lang w:val="en-US" w:eastAsia="zh-CN"/>
        </w:rPr>
      </w:pPr>
      <w:r w:rsidRPr="00553067">
        <w:rPr>
          <w:lang w:val="en-US" w:eastAsia="zh-CN"/>
        </w:rPr>
        <w:t xml:space="preserve">In </w:t>
      </w:r>
      <w:r>
        <w:rPr>
          <w:lang w:val="en-US" w:eastAsia="zh-CN"/>
        </w:rPr>
        <w:t xml:space="preserve">view of observation 1, our view is that it would be highly desirable for NR to extend the RACHless handover beyond that which was specified in release 14 for LTE, namely allow both scenarios with </w:t>
      </w:r>
      <w:r w:rsidR="00E21864">
        <w:rPr>
          <w:lang w:val="en-US" w:eastAsia="zh-CN"/>
        </w:rPr>
        <w:t>non-zero</w:t>
      </w:r>
      <w:r>
        <w:rPr>
          <w:lang w:val="en-US" w:eastAsia="zh-CN"/>
        </w:rPr>
        <w:t xml:space="preserve"> TA, and scenarios where the target TA is different from the PCell, PSCell or SCells to be addressed.</w:t>
      </w:r>
    </w:p>
    <w:p w14:paraId="02B21A96" w14:textId="77777777" w:rsidR="00553067" w:rsidRDefault="00553067" w:rsidP="006B6666">
      <w:pPr>
        <w:rPr>
          <w:lang w:val="en-US" w:eastAsia="zh-CN"/>
        </w:rPr>
      </w:pPr>
      <w:r>
        <w:rPr>
          <w:lang w:val="en-US" w:eastAsia="zh-CN"/>
        </w:rPr>
        <w:t xml:space="preserve">In RAN4#91, two </w:t>
      </w:r>
      <w:r w:rsidR="004F3D48">
        <w:rPr>
          <w:lang w:val="en-US" w:eastAsia="zh-CN"/>
        </w:rPr>
        <w:t>procedures</w:t>
      </w:r>
      <w:r>
        <w:rPr>
          <w:lang w:val="en-US" w:eastAsia="zh-CN"/>
        </w:rPr>
        <w:t xml:space="preserve"> were discussed. </w:t>
      </w:r>
      <w:r w:rsidR="00E14EAC">
        <w:rPr>
          <w:lang w:val="en-US" w:eastAsia="zh-CN"/>
        </w:rPr>
        <w:t>We refer to these as a network based scheme and a UE based scheme.</w:t>
      </w:r>
    </w:p>
    <w:p w14:paraId="05B29C00" w14:textId="75984709" w:rsidR="00E14EAC" w:rsidRPr="004F3D48" w:rsidRDefault="00E14EAC" w:rsidP="00E14EAC">
      <w:pPr>
        <w:pStyle w:val="ListParagraph"/>
        <w:numPr>
          <w:ilvl w:val="0"/>
          <w:numId w:val="40"/>
        </w:numPr>
        <w:rPr>
          <w:sz w:val="20"/>
          <w:szCs w:val="20"/>
          <w:lang w:val="en-US" w:eastAsia="zh-CN"/>
        </w:rPr>
      </w:pPr>
      <w:r w:rsidRPr="004F3D48">
        <w:rPr>
          <w:sz w:val="20"/>
          <w:szCs w:val="20"/>
          <w:lang w:val="en-US" w:eastAsia="zh-CN"/>
        </w:rPr>
        <w:t>Network based scheme : In this scheme, prior to handover the UE is configured with SRS transmission by the source cell.</w:t>
      </w:r>
      <w:r w:rsidR="0016689F">
        <w:rPr>
          <w:sz w:val="20"/>
          <w:szCs w:val="20"/>
          <w:lang w:val="en-US" w:eastAsia="zh-CN"/>
        </w:rPr>
        <w:t xml:space="preserve"> There are multiple schemes by which he network may determine the suitable TA, for example based on historical information/machine learning. Another alternative is to use </w:t>
      </w:r>
      <w:r w:rsidR="00BF29F7">
        <w:rPr>
          <w:sz w:val="20"/>
          <w:szCs w:val="20"/>
          <w:lang w:val="en-US" w:eastAsia="zh-CN"/>
        </w:rPr>
        <w:t xml:space="preserve">an uplink reference channel such as </w:t>
      </w:r>
      <w:r w:rsidR="0016689F">
        <w:rPr>
          <w:sz w:val="20"/>
          <w:szCs w:val="20"/>
          <w:lang w:val="en-US" w:eastAsia="zh-CN"/>
        </w:rPr>
        <w:t>SRS as described in</w:t>
      </w:r>
      <w:r w:rsidR="00BF29F7">
        <w:rPr>
          <w:sz w:val="20"/>
          <w:szCs w:val="20"/>
          <w:lang w:val="en-US" w:eastAsia="zh-CN"/>
        </w:rPr>
        <w:t xml:space="preserve"> </w:t>
      </w:r>
      <w:r w:rsidR="00BF29F7">
        <w:rPr>
          <w:sz w:val="20"/>
          <w:szCs w:val="20"/>
          <w:lang w:val="en-US" w:eastAsia="zh-CN"/>
        </w:rPr>
        <w:fldChar w:fldCharType="begin"/>
      </w:r>
      <w:r w:rsidR="00BF29F7">
        <w:rPr>
          <w:sz w:val="20"/>
          <w:szCs w:val="20"/>
          <w:lang w:val="en-US" w:eastAsia="zh-CN"/>
        </w:rPr>
        <w:instrText xml:space="preserve"> REF _Ref16761238 \r \h </w:instrText>
      </w:r>
      <w:r w:rsidR="00BF29F7">
        <w:rPr>
          <w:sz w:val="20"/>
          <w:szCs w:val="20"/>
          <w:lang w:val="en-US" w:eastAsia="zh-CN"/>
        </w:rPr>
      </w:r>
      <w:r w:rsidR="00BF29F7">
        <w:rPr>
          <w:sz w:val="20"/>
          <w:szCs w:val="20"/>
          <w:lang w:val="en-US" w:eastAsia="zh-CN"/>
        </w:rPr>
        <w:fldChar w:fldCharType="separate"/>
      </w:r>
      <w:r w:rsidR="00BF29F7">
        <w:rPr>
          <w:sz w:val="20"/>
          <w:szCs w:val="20"/>
          <w:lang w:val="en-US" w:eastAsia="zh-CN"/>
        </w:rPr>
        <w:t>[3]</w:t>
      </w:r>
      <w:r w:rsidR="00BF29F7">
        <w:rPr>
          <w:sz w:val="20"/>
          <w:szCs w:val="20"/>
          <w:lang w:val="en-US" w:eastAsia="zh-CN"/>
        </w:rPr>
        <w:fldChar w:fldCharType="end"/>
      </w:r>
      <w:r w:rsidR="0016689F">
        <w:rPr>
          <w:sz w:val="20"/>
          <w:szCs w:val="20"/>
          <w:lang w:val="en-US" w:eastAsia="zh-CN"/>
        </w:rPr>
        <w:t xml:space="preserve"> </w:t>
      </w:r>
      <w:r w:rsidRPr="004F3D48">
        <w:rPr>
          <w:sz w:val="20"/>
          <w:szCs w:val="20"/>
          <w:lang w:val="en-US" w:eastAsia="zh-CN"/>
        </w:rPr>
        <w:t xml:space="preserve"> The target cell detects the UE </w:t>
      </w:r>
      <w:r w:rsidR="00BF29F7">
        <w:rPr>
          <w:sz w:val="20"/>
          <w:szCs w:val="20"/>
          <w:lang w:val="en-US" w:eastAsia="zh-CN"/>
        </w:rPr>
        <w:t>reference signal (</w:t>
      </w:r>
      <w:r w:rsidRPr="004F3D48">
        <w:rPr>
          <w:sz w:val="20"/>
          <w:szCs w:val="20"/>
          <w:lang w:val="en-US" w:eastAsia="zh-CN"/>
        </w:rPr>
        <w:t>SRS</w:t>
      </w:r>
      <w:r w:rsidR="00BF29F7">
        <w:rPr>
          <w:sz w:val="20"/>
          <w:szCs w:val="20"/>
          <w:lang w:val="en-US" w:eastAsia="zh-CN"/>
        </w:rPr>
        <w:t>)</w:t>
      </w:r>
      <w:r w:rsidRPr="004F3D48">
        <w:rPr>
          <w:sz w:val="20"/>
          <w:szCs w:val="20"/>
          <w:lang w:val="en-US" w:eastAsia="zh-CN"/>
        </w:rPr>
        <w:t xml:space="preserve"> and compares its current timing with the desired uplink timing. From this difference, a relative adjustment (effectively a large single shot UL timing advance command) may be calculated and informed to the </w:t>
      </w:r>
      <w:r w:rsidR="00BF29F7">
        <w:rPr>
          <w:sz w:val="20"/>
          <w:szCs w:val="20"/>
          <w:lang w:val="en-US" w:eastAsia="zh-CN"/>
        </w:rPr>
        <w:t>UE</w:t>
      </w:r>
      <w:r w:rsidRPr="004F3D48">
        <w:rPr>
          <w:sz w:val="20"/>
          <w:szCs w:val="20"/>
          <w:lang w:val="en-US" w:eastAsia="zh-CN"/>
        </w:rPr>
        <w:t xml:space="preserve"> </w:t>
      </w:r>
      <w:r w:rsidR="00BF29F7">
        <w:rPr>
          <w:sz w:val="20"/>
          <w:szCs w:val="20"/>
          <w:lang w:val="en-US" w:eastAsia="zh-CN"/>
        </w:rPr>
        <w:t xml:space="preserve"> This can be performed </w:t>
      </w:r>
      <w:r w:rsidR="00E21864">
        <w:rPr>
          <w:sz w:val="20"/>
          <w:szCs w:val="20"/>
          <w:lang w:val="en-US" w:eastAsia="zh-CN"/>
        </w:rPr>
        <w:t>e.g.</w:t>
      </w:r>
      <w:r w:rsidR="00BF29F7">
        <w:rPr>
          <w:sz w:val="20"/>
          <w:szCs w:val="20"/>
          <w:lang w:val="en-US" w:eastAsia="zh-CN"/>
        </w:rPr>
        <w:t xml:space="preserve"> using the transparent handover message container which is sent to the UE via the source cell. Using this </w:t>
      </w:r>
      <w:r w:rsidR="00E21864">
        <w:rPr>
          <w:sz w:val="20"/>
          <w:szCs w:val="20"/>
          <w:lang w:val="en-US" w:eastAsia="zh-CN"/>
        </w:rPr>
        <w:t>procedure,</w:t>
      </w:r>
      <w:r w:rsidRPr="004F3D48">
        <w:rPr>
          <w:sz w:val="20"/>
          <w:szCs w:val="20"/>
          <w:lang w:val="en-US" w:eastAsia="zh-CN"/>
        </w:rPr>
        <w:t xml:space="preserve"> the UE is able to apply the correct timing after HO.</w:t>
      </w:r>
    </w:p>
    <w:p w14:paraId="301765A0" w14:textId="77777777" w:rsidR="00E14EAC" w:rsidRPr="004F3D48" w:rsidRDefault="00E14EAC" w:rsidP="00E14EAC">
      <w:pPr>
        <w:pStyle w:val="ListParagraph"/>
        <w:rPr>
          <w:sz w:val="20"/>
          <w:szCs w:val="20"/>
          <w:lang w:val="en-US" w:eastAsia="zh-CN"/>
        </w:rPr>
      </w:pPr>
    </w:p>
    <w:p w14:paraId="0CA26962" w14:textId="77777777" w:rsidR="00E14EAC" w:rsidRPr="004F3D48" w:rsidRDefault="00E14EAC" w:rsidP="00E14EAC">
      <w:pPr>
        <w:pStyle w:val="ListParagraph"/>
        <w:numPr>
          <w:ilvl w:val="0"/>
          <w:numId w:val="40"/>
        </w:numPr>
        <w:rPr>
          <w:sz w:val="20"/>
          <w:szCs w:val="20"/>
          <w:lang w:val="en-US" w:eastAsia="zh-CN"/>
        </w:rPr>
      </w:pPr>
      <w:r w:rsidRPr="004F3D48">
        <w:rPr>
          <w:sz w:val="20"/>
          <w:szCs w:val="20"/>
          <w:lang w:val="en-US" w:eastAsia="zh-CN"/>
        </w:rPr>
        <w:t xml:space="preserve">UE based scheme : In this scheme, the UE computes the target TA based on the observed time difference between target and source downlink </w:t>
      </w:r>
      <w:r w:rsidR="004F3D48" w:rsidRPr="004F3D48">
        <w:rPr>
          <w:sz w:val="20"/>
          <w:szCs w:val="20"/>
          <w:lang w:val="en-US" w:eastAsia="zh-CN"/>
        </w:rPr>
        <w:t xml:space="preserve">timing </w:t>
      </w:r>
      <w:r w:rsidRPr="004F3D48">
        <w:rPr>
          <w:sz w:val="20"/>
          <w:szCs w:val="20"/>
          <w:lang w:val="en-US" w:eastAsia="zh-CN"/>
        </w:rPr>
        <w:t>according to</w:t>
      </w:r>
    </w:p>
    <w:p w14:paraId="4DB19D05" w14:textId="77777777" w:rsidR="004F3D48" w:rsidRPr="004F3D48" w:rsidRDefault="004F3D48" w:rsidP="004F3D48">
      <w:pPr>
        <w:pStyle w:val="ListParagraph"/>
        <w:rPr>
          <w:sz w:val="20"/>
          <w:szCs w:val="20"/>
          <w:lang w:val="en-US" w:eastAsia="zh-CN"/>
        </w:rPr>
      </w:pPr>
    </w:p>
    <w:p w14:paraId="31E1A4CB" w14:textId="77777777" w:rsidR="004F3D48" w:rsidRPr="004F3D48" w:rsidRDefault="004F3D48" w:rsidP="00E14EAC">
      <w:pPr>
        <w:pStyle w:val="ListParagraph"/>
        <w:numPr>
          <w:ilvl w:val="0"/>
          <w:numId w:val="40"/>
        </w:numPr>
        <w:rPr>
          <w:sz w:val="20"/>
          <w:szCs w:val="20"/>
          <w:lang w:val="en-US" w:eastAsia="zh-CN"/>
        </w:rPr>
      </w:pPr>
    </w:p>
    <w:p w14:paraId="387BC4FB" w14:textId="77777777" w:rsidR="00E14EAC" w:rsidRPr="004F3D48" w:rsidRDefault="00E14EAC" w:rsidP="00E14EAC">
      <w:pPr>
        <w:pStyle w:val="ListParagraph"/>
        <w:rPr>
          <w:i/>
          <w:sz w:val="20"/>
          <w:szCs w:val="20"/>
          <w:lang w:val="en-US" w:eastAsia="zh-CN"/>
        </w:rPr>
      </w:pPr>
      <w:r w:rsidRPr="004F3D48">
        <w:rPr>
          <w:i/>
          <w:sz w:val="20"/>
          <w:szCs w:val="20"/>
          <w:lang w:val="en-US" w:eastAsia="zh-CN"/>
        </w:rPr>
        <w:t xml:space="preserve">Solution 1 (for synchronous NW): </w:t>
      </w:r>
      <w:bookmarkStart w:id="1" w:name="_Hlk6912944"/>
      <w:r w:rsidRPr="004F3D48">
        <w:rPr>
          <w:i/>
          <w:sz w:val="20"/>
          <w:szCs w:val="20"/>
          <w:lang w:val="en-US" w:eastAsia="zh-CN"/>
        </w:rPr>
        <w:t xml:space="preserve">UE calculates TA according to TAtarget = TAsource– 2 *ΔT where ΔT is the observed difference in downlink timing under the assumption that uplink propagation delay and downlink propagation delay are </w:t>
      </w:r>
      <w:bookmarkEnd w:id="1"/>
      <w:r w:rsidRPr="004F3D48">
        <w:rPr>
          <w:i/>
          <w:sz w:val="20"/>
          <w:szCs w:val="20"/>
          <w:lang w:val="en-US" w:eastAsia="zh-CN"/>
        </w:rPr>
        <w:t>equal</w:t>
      </w:r>
    </w:p>
    <w:p w14:paraId="7F40A4BA" w14:textId="77777777" w:rsidR="00E14EAC" w:rsidRPr="004F3D48" w:rsidRDefault="00E14EAC" w:rsidP="00E14EAC">
      <w:pPr>
        <w:pStyle w:val="ListParagraph"/>
        <w:rPr>
          <w:i/>
          <w:sz w:val="20"/>
          <w:szCs w:val="20"/>
          <w:lang w:val="en-US" w:eastAsia="zh-CN"/>
        </w:rPr>
      </w:pPr>
    </w:p>
    <w:p w14:paraId="6DFC61B6" w14:textId="77777777" w:rsidR="00E14EAC" w:rsidRPr="004F3D48" w:rsidRDefault="00E14EAC" w:rsidP="00E14EAC">
      <w:pPr>
        <w:pStyle w:val="ListParagraph"/>
        <w:rPr>
          <w:i/>
          <w:sz w:val="20"/>
          <w:szCs w:val="20"/>
          <w:lang w:val="en-US" w:eastAsia="zh-CN"/>
        </w:rPr>
      </w:pPr>
      <w:r w:rsidRPr="004F3D48">
        <w:rPr>
          <w:i/>
          <w:sz w:val="20"/>
          <w:szCs w:val="20"/>
          <w:lang w:val="en-US" w:eastAsia="zh-CN"/>
        </w:rPr>
        <w:t>Solution 2.1 (for async NW) UE calculates TA according to TAtarget = TAsource+</w:t>
      </w:r>
      <w:r w:rsidRPr="004F3D48">
        <w:rPr>
          <w:rFonts w:eastAsia="SimSun"/>
          <w:i/>
          <w:sz w:val="20"/>
          <w:szCs w:val="20"/>
          <w:lang w:eastAsia="zh-CN"/>
        </w:rPr>
        <w:t>Td – 2*</w:t>
      </w:r>
      <w:r w:rsidRPr="004F3D48">
        <w:rPr>
          <w:rFonts w:ascii="SimSun" w:eastAsia="SimSun" w:hAnsi="SimSun" w:hint="eastAsia"/>
          <w:i/>
          <w:sz w:val="20"/>
          <w:szCs w:val="20"/>
          <w:lang w:eastAsia="zh-CN"/>
        </w:rPr>
        <w:t>Δ</w:t>
      </w:r>
      <w:r w:rsidRPr="004F3D48">
        <w:rPr>
          <w:rFonts w:eastAsia="SimSun"/>
          <w:i/>
          <w:sz w:val="20"/>
          <w:szCs w:val="20"/>
          <w:lang w:eastAsia="zh-CN"/>
        </w:rPr>
        <w:t xml:space="preserve">t. </w:t>
      </w:r>
      <w:r w:rsidRPr="004F3D48">
        <w:rPr>
          <w:i/>
          <w:sz w:val="20"/>
          <w:szCs w:val="20"/>
          <w:lang w:val="en-US" w:eastAsia="zh-CN"/>
        </w:rPr>
        <w:t>where Δt is the observed difference in downlink timing and Td is the time difference between the downlink transmission time of the cells, which may be found eg by O&amp;M and provided to the UE in the handover command.</w:t>
      </w:r>
    </w:p>
    <w:p w14:paraId="063D83EC" w14:textId="77777777" w:rsidR="00553067" w:rsidRDefault="00553067" w:rsidP="006B6666">
      <w:pPr>
        <w:rPr>
          <w:lang w:val="en-US" w:eastAsia="zh-CN"/>
        </w:rPr>
      </w:pPr>
    </w:p>
    <w:p w14:paraId="00FAB181" w14:textId="77777777" w:rsidR="004F3D48" w:rsidRDefault="004F3D48" w:rsidP="006B6666">
      <w:pPr>
        <w:rPr>
          <w:lang w:val="en-US" w:eastAsia="zh-CN"/>
        </w:rPr>
      </w:pPr>
      <w:r>
        <w:rPr>
          <w:lang w:val="en-US" w:eastAsia="zh-CN"/>
        </w:rPr>
        <w:t>We now discuss the merits of these schemes.</w:t>
      </w:r>
    </w:p>
    <w:p w14:paraId="2C786141" w14:textId="77777777" w:rsidR="004F3D48" w:rsidRDefault="004F3D48" w:rsidP="006B6666">
      <w:pPr>
        <w:rPr>
          <w:u w:val="single"/>
          <w:lang w:val="en-US" w:eastAsia="zh-CN"/>
        </w:rPr>
      </w:pPr>
      <w:r w:rsidRPr="004F3D48">
        <w:rPr>
          <w:u w:val="single"/>
          <w:lang w:val="en-US" w:eastAsia="zh-CN"/>
        </w:rPr>
        <w:t>Network based scheme</w:t>
      </w:r>
    </w:p>
    <w:p w14:paraId="2137C7B8" w14:textId="77777777" w:rsidR="004F3D48" w:rsidRDefault="004F3D48" w:rsidP="006B6666">
      <w:pPr>
        <w:rPr>
          <w:lang w:val="en-US" w:eastAsia="zh-CN"/>
        </w:rPr>
      </w:pPr>
      <w:r w:rsidRPr="004F3D48">
        <w:rPr>
          <w:lang w:val="en-US" w:eastAsia="zh-CN"/>
        </w:rPr>
        <w:t xml:space="preserve">One </w:t>
      </w:r>
      <w:r>
        <w:rPr>
          <w:lang w:val="en-US" w:eastAsia="zh-CN"/>
        </w:rPr>
        <w:t>of the main benefits of the network based scheme is that if the procedure fails to provide a valid TA (for example, if the target cell cannot detect the UE SRS transmission and hence determine timing) it is always possible for the to use the legacy handover. The handover command (RRCReconfigurationRequest) is already provided from source to target cell (using a transparent container) before it is provided to the UE so if a TA field is added in the RRC command to the UE it will also be added in the transparent container. There is some coordination needed between source and target cell during the handover preparation phase, because the source cell needs to configure SRS transmission and the target cell needs to be made aware that the UE is transmitting SRS and determine its timing. The details of this coordination would be for RAN2/3 to consider further</w:t>
      </w:r>
      <w:r w:rsidR="004C5FC7">
        <w:rPr>
          <w:lang w:val="en-US" w:eastAsia="zh-CN"/>
        </w:rPr>
        <w:t>, and it may to an extent also be handled by network implementation (for example when source and target eNB are single vendor).</w:t>
      </w:r>
    </w:p>
    <w:p w14:paraId="281DD8F6" w14:textId="77777777" w:rsidR="00BF29F7" w:rsidRDefault="004F3D48" w:rsidP="006B6666">
      <w:pPr>
        <w:rPr>
          <w:lang w:val="en-US" w:eastAsia="zh-CN"/>
        </w:rPr>
      </w:pPr>
      <w:r>
        <w:rPr>
          <w:lang w:val="en-US" w:eastAsia="zh-CN"/>
        </w:rPr>
        <w:t>One of the disadvantages of the network based scheme is that the overall time to execute a handover (including preparation) will be increased to coordinate, configure and detect the UE SRS transmission. This may have a negative impact on the handover success rate, since the UE may drop the connection, for instance during the time that the target cell is searching for the SRS, which could have been avoided by doing a legacy handover with a timelier start.</w:t>
      </w:r>
      <w:r w:rsidR="00BF29F7">
        <w:rPr>
          <w:lang w:val="en-US" w:eastAsia="zh-CN"/>
        </w:rPr>
        <w:t xml:space="preserve"> It is also somewhat contrary to the purpose of doing RACH-less handover to reduce delays, although the interruption time for user data  may be improved by using RACH-less handover, even with an extended preparation time. It should be noted that here we discuss the practical interruption of user data which includes the possible RACH procedure, although the RAN4 definition of HO interruption does not include time for the full RACH procedure to be performed.</w:t>
      </w:r>
      <w:r>
        <w:rPr>
          <w:lang w:val="en-US" w:eastAsia="zh-CN"/>
        </w:rPr>
        <w:t xml:space="preserve"> </w:t>
      </w:r>
    </w:p>
    <w:p w14:paraId="73F5994C" w14:textId="5B5A0926" w:rsidR="004F3D48" w:rsidRDefault="004F3D48" w:rsidP="006B6666">
      <w:pPr>
        <w:rPr>
          <w:lang w:val="en-US" w:eastAsia="zh-CN"/>
        </w:rPr>
      </w:pPr>
      <w:r>
        <w:rPr>
          <w:lang w:val="en-US" w:eastAsia="zh-CN"/>
        </w:rPr>
        <w:t xml:space="preserve">Another disadvantage is that </w:t>
      </w:r>
      <w:r w:rsidR="004C5FC7">
        <w:rPr>
          <w:lang w:val="en-US" w:eastAsia="zh-CN"/>
        </w:rPr>
        <w:t>it may be difficult for the target eNB to detect SRS transmissions from the source UE as there may be a near-far problem on the uplink if nearby UEs are transmitting. By definition, the SRS will be interfered with by other UE uplink, and the time window for the search may be large because the UE is still connected to the source cell.</w:t>
      </w:r>
    </w:p>
    <w:p w14:paraId="3006EAB0" w14:textId="77777777" w:rsidR="004C5FC7" w:rsidRDefault="004C5FC7" w:rsidP="004C5FC7">
      <w:pPr>
        <w:rPr>
          <w:u w:val="single"/>
          <w:lang w:val="en-US" w:eastAsia="zh-CN"/>
        </w:rPr>
      </w:pPr>
      <w:r>
        <w:rPr>
          <w:u w:val="single"/>
          <w:lang w:val="en-US" w:eastAsia="zh-CN"/>
        </w:rPr>
        <w:t>UE</w:t>
      </w:r>
      <w:r w:rsidRPr="004F3D48">
        <w:rPr>
          <w:u w:val="single"/>
          <w:lang w:val="en-US" w:eastAsia="zh-CN"/>
        </w:rPr>
        <w:t xml:space="preserve"> based scheme</w:t>
      </w:r>
    </w:p>
    <w:p w14:paraId="14663DBA" w14:textId="07A20349" w:rsidR="004C5FC7" w:rsidRDefault="004C5FC7" w:rsidP="006B6666">
      <w:pPr>
        <w:rPr>
          <w:lang w:val="en-US" w:eastAsia="zh-CN"/>
        </w:rPr>
      </w:pPr>
      <w:r>
        <w:rPr>
          <w:lang w:val="en-US" w:eastAsia="zh-CN"/>
        </w:rPr>
        <w:lastRenderedPageBreak/>
        <w:t xml:space="preserve">The main benefit of this scheme is that in a </w:t>
      </w:r>
      <w:r w:rsidR="00E21864">
        <w:rPr>
          <w:lang w:val="en-US" w:eastAsia="zh-CN"/>
        </w:rPr>
        <w:t>non-blind</w:t>
      </w:r>
      <w:r>
        <w:rPr>
          <w:lang w:val="en-US" w:eastAsia="zh-CN"/>
        </w:rPr>
        <w:t xml:space="preserve"> handover, the UE has already measured the downlink of the target cell and should be able to estimate the time difference without further delay. </w:t>
      </w:r>
      <w:r w:rsidR="00E21864">
        <w:rPr>
          <w:lang w:val="en-US" w:eastAsia="zh-CN"/>
        </w:rPr>
        <w:t>So,</w:t>
      </w:r>
      <w:r>
        <w:rPr>
          <w:lang w:val="en-US" w:eastAsia="zh-CN"/>
        </w:rPr>
        <w:t xml:space="preserve"> we can expect that overall (including preparation for HO), a UE based procedure is significantly faster than a network based procedure.</w:t>
      </w:r>
    </w:p>
    <w:p w14:paraId="315ACF9B" w14:textId="77777777" w:rsidR="004C5FC7" w:rsidRDefault="004C5FC7" w:rsidP="006B6666">
      <w:pPr>
        <w:rPr>
          <w:lang w:val="en-US" w:eastAsia="zh-CN"/>
        </w:rPr>
      </w:pPr>
      <w:r>
        <w:rPr>
          <w:lang w:val="en-US" w:eastAsia="zh-CN"/>
        </w:rPr>
        <w:t>In our view, the earlier solution (2.1) discussed in LTE for async NW does not really make sense, because it depends on finding a time difference</w:t>
      </w:r>
      <w:r w:rsidRPr="004C5FC7">
        <w:rPr>
          <w:i/>
          <w:lang w:val="en-US" w:eastAsia="zh-CN"/>
        </w:rPr>
        <w:t xml:space="preserve"> </w:t>
      </w:r>
      <w:r>
        <w:rPr>
          <w:i/>
          <w:lang w:val="en-US" w:eastAsia="zh-CN"/>
        </w:rPr>
        <w:t>(</w:t>
      </w:r>
      <w:r w:rsidRPr="004F3D48">
        <w:rPr>
          <w:i/>
          <w:lang w:val="en-US" w:eastAsia="zh-CN"/>
        </w:rPr>
        <w:t>Td</w:t>
      </w:r>
      <w:r>
        <w:rPr>
          <w:i/>
          <w:lang w:val="en-US" w:eastAsia="zh-CN"/>
        </w:rPr>
        <w:t>)</w:t>
      </w:r>
      <w:r>
        <w:rPr>
          <w:lang w:val="en-US" w:eastAsia="zh-CN"/>
        </w:rPr>
        <w:t xml:space="preserve"> between the cells eg by O&amp;M and providing this information to the UE. If the network is able to determine Td then it would be better to use the information to synchronize the cells, rather than to continue to operate them asynchronously while providing assistance information to UEs to adjust their timing accounting for the network transmission time difference.</w:t>
      </w:r>
    </w:p>
    <w:p w14:paraId="03DB2848" w14:textId="77777777" w:rsidR="004C5FC7" w:rsidRDefault="004C5FC7" w:rsidP="006B6666">
      <w:pPr>
        <w:rPr>
          <w:lang w:val="en-US" w:eastAsia="zh-CN"/>
        </w:rPr>
      </w:pPr>
      <w:r>
        <w:rPr>
          <w:lang w:val="en-US" w:eastAsia="zh-CN"/>
        </w:rPr>
        <w:t>One of the main disadvantages of the UE based scheme concerns robustness; since the UE has no other TA value to use, if the calculation fails to provide an accurate timing then either the handover fails, or the UE establishes a connection to the target cell with incorrect timing which will cause high interference levels to other uplink signals until it can be corrected by TA commands from the target cell.</w:t>
      </w:r>
    </w:p>
    <w:p w14:paraId="09A503C3" w14:textId="77777777" w:rsidR="00DC3A0F" w:rsidRDefault="00DC3A0F" w:rsidP="006B6666">
      <w:pPr>
        <w:rPr>
          <w:lang w:val="en-US" w:eastAsia="zh-CN"/>
        </w:rPr>
      </w:pPr>
      <w:r>
        <w:rPr>
          <w:lang w:val="en-US" w:eastAsia="zh-CN"/>
        </w:rPr>
        <w:t>In LTE rel-14, it was concluded not to specify the UE based approach for TA calculation in RACHless handover. In our view, there are some reasons why this conclusion could be reconsidered in NR for release 16.</w:t>
      </w:r>
    </w:p>
    <w:p w14:paraId="1A8E0CC2" w14:textId="77777777" w:rsidR="00DC3A0F" w:rsidRPr="00A43D32" w:rsidRDefault="00DC3A0F" w:rsidP="00DC3A0F">
      <w:pPr>
        <w:pStyle w:val="ListParagraph"/>
        <w:numPr>
          <w:ilvl w:val="0"/>
          <w:numId w:val="41"/>
        </w:numPr>
        <w:rPr>
          <w:sz w:val="20"/>
          <w:szCs w:val="20"/>
          <w:lang w:val="en-US" w:eastAsia="zh-CN"/>
        </w:rPr>
      </w:pPr>
      <w:r w:rsidRPr="00A43D32">
        <w:rPr>
          <w:sz w:val="20"/>
          <w:szCs w:val="20"/>
          <w:lang w:val="en-US" w:eastAsia="zh-CN"/>
        </w:rPr>
        <w:t>Calculated uplink timing adjustments are already applied in NR at RX and TX beam switch.</w:t>
      </w:r>
    </w:p>
    <w:p w14:paraId="568C3BCD" w14:textId="75EC944B" w:rsidR="00A43D32" w:rsidRPr="00A43D32" w:rsidRDefault="00DC3A0F" w:rsidP="00A43D32">
      <w:pPr>
        <w:pStyle w:val="ListParagraph"/>
        <w:numPr>
          <w:ilvl w:val="0"/>
          <w:numId w:val="41"/>
        </w:numPr>
        <w:rPr>
          <w:sz w:val="20"/>
          <w:szCs w:val="20"/>
          <w:lang w:val="en-US" w:eastAsia="zh-CN"/>
        </w:rPr>
      </w:pPr>
      <w:r w:rsidRPr="00A43D32">
        <w:rPr>
          <w:sz w:val="20"/>
          <w:szCs w:val="20"/>
          <w:lang w:val="en-US" w:eastAsia="zh-CN"/>
        </w:rPr>
        <w:t xml:space="preserve">It is a network choice whether to use RACHless or legacy HO. In the analysis for LTE, most of the error comes from the uncertainty in eNB transmission time. In LTE, with perfect network sycnronisation, an error of around </w:t>
      </w:r>
      <w:r w:rsidRPr="00A43D32">
        <w:rPr>
          <w:sz w:val="20"/>
          <w:szCs w:val="20"/>
        </w:rPr>
        <w:t>±(4 + 2*9)= ±22Ts</w:t>
      </w:r>
      <w:r w:rsidRPr="00A43D32">
        <w:rPr>
          <w:sz w:val="20"/>
          <w:szCs w:val="20"/>
          <w:lang w:val="en-GB"/>
        </w:rPr>
        <w:t xml:space="preserve"> would be achievable, which should be sufficient  considering that the CP duration is at least 144Ts. In practice there will not be perfect network synchronisation, but the network does have knowledge about which nodes are well sycnronised with each other (</w:t>
      </w:r>
      <w:r w:rsidR="00E21864" w:rsidRPr="00A43D32">
        <w:rPr>
          <w:sz w:val="20"/>
          <w:szCs w:val="20"/>
          <w:lang w:val="en-GB"/>
        </w:rPr>
        <w:t>e.g.</w:t>
      </w:r>
      <w:r w:rsidRPr="00A43D32">
        <w:rPr>
          <w:sz w:val="20"/>
          <w:szCs w:val="20"/>
          <w:lang w:val="en-GB"/>
        </w:rPr>
        <w:t xml:space="preserve"> using GNSS) and can use the RACHless UE calculated procedure when </w:t>
      </w:r>
      <w:r w:rsidR="00A43D32" w:rsidRPr="00A43D32">
        <w:rPr>
          <w:sz w:val="20"/>
          <w:szCs w:val="20"/>
          <w:lang w:val="en-GB"/>
        </w:rPr>
        <w:t>the nodes are well synchronised, and fall back to legacy handover for other cases.</w:t>
      </w:r>
      <w:r w:rsidR="00A43D32">
        <w:rPr>
          <w:sz w:val="20"/>
          <w:szCs w:val="20"/>
          <w:lang w:val="en-GB"/>
        </w:rPr>
        <w:t xml:space="preserve"> In practice many network nodes can be expected to be well synchronised, and exceeding the RAN4 minimum requirements for cell phase sync, which have to target difficult situations such as indoor basestation without GNSS receiver.</w:t>
      </w:r>
    </w:p>
    <w:p w14:paraId="5CDF12B2" w14:textId="77777777" w:rsidR="00A43D32" w:rsidRPr="00A43D32" w:rsidRDefault="00A43D32" w:rsidP="00A43D32">
      <w:pPr>
        <w:pStyle w:val="ListParagraph"/>
        <w:rPr>
          <w:sz w:val="20"/>
          <w:szCs w:val="20"/>
          <w:lang w:val="en-US" w:eastAsia="zh-CN"/>
        </w:rPr>
      </w:pPr>
    </w:p>
    <w:p w14:paraId="74DD0DBA" w14:textId="77777777" w:rsidR="00A43D32" w:rsidRDefault="00A43D32" w:rsidP="00A43D32">
      <w:pPr>
        <w:rPr>
          <w:lang w:val="en-US" w:eastAsia="zh-CN"/>
        </w:rPr>
      </w:pPr>
      <w:r>
        <w:rPr>
          <w:lang w:val="en-US" w:eastAsia="zh-CN"/>
        </w:rPr>
        <w:t>Based on the discussion we conclude that both network and UE based schemes have significant merit and would extend the usefulness of RACHless handover. The schemes are appropriate in different scenarios and hence it is proposed to consider both schemes further in the work item. The network based procedure is primarily for RAN2 to consider, and decide whether to specify, so RAN4 feedback should be on the accuracy of the UE based scheme.</w:t>
      </w:r>
    </w:p>
    <w:p w14:paraId="5F649B52" w14:textId="77777777" w:rsidR="00A43D32" w:rsidRDefault="00A43D32" w:rsidP="00A43D32">
      <w:pPr>
        <w:rPr>
          <w:b/>
          <w:lang w:val="en-US" w:eastAsia="zh-CN"/>
        </w:rPr>
      </w:pPr>
      <w:r>
        <w:rPr>
          <w:b/>
          <w:lang w:val="en-US" w:eastAsia="zh-CN"/>
        </w:rPr>
        <w:t>Proposal 1 : Both UE and network based schemes for TA setting are considered for RACHless handover.</w:t>
      </w:r>
    </w:p>
    <w:p w14:paraId="31A77148" w14:textId="77777777" w:rsidR="00A43D32" w:rsidRDefault="00A43D32" w:rsidP="00A43D32">
      <w:pPr>
        <w:rPr>
          <w:u w:val="single"/>
          <w:lang w:val="en-US" w:eastAsia="zh-CN"/>
        </w:rPr>
      </w:pPr>
      <w:r w:rsidRPr="00A43D32">
        <w:rPr>
          <w:u w:val="single"/>
          <w:lang w:val="en-US" w:eastAsia="zh-CN"/>
        </w:rPr>
        <w:t>Accuracy analysis for NR</w:t>
      </w:r>
      <w:r>
        <w:rPr>
          <w:u w:val="single"/>
          <w:lang w:val="en-US" w:eastAsia="zh-CN"/>
        </w:rPr>
        <w:t xml:space="preserve"> for the UE based scheme</w:t>
      </w:r>
    </w:p>
    <w:p w14:paraId="7FB19E7C" w14:textId="77777777" w:rsidR="00A43D32" w:rsidRDefault="00A43D32" w:rsidP="00A43D32">
      <w:pPr>
        <w:rPr>
          <w:lang w:val="en-US" w:eastAsia="zh-CN"/>
        </w:rPr>
      </w:pPr>
      <w:r w:rsidRPr="00A43D32">
        <w:rPr>
          <w:lang w:val="en-US" w:eastAsia="zh-CN"/>
        </w:rPr>
        <w:t xml:space="preserve">Following the same approach as was used for LTE </w:t>
      </w:r>
      <w:r>
        <w:rPr>
          <w:lang w:val="en-US" w:eastAsia="zh-CN"/>
        </w:rPr>
        <w:t>analysis, the error in TA is</w:t>
      </w:r>
    </w:p>
    <w:p w14:paraId="5C19F840" w14:textId="77777777" w:rsidR="00A43D32" w:rsidRDefault="00B93CC5" w:rsidP="00B93CC5">
      <w:pPr>
        <w:ind w:left="284"/>
      </w:pPr>
      <m:oMath>
        <m:r>
          <w:rPr>
            <w:rFonts w:ascii="Cambria Math" w:eastAsia="Times New Roman"/>
          </w:rPr>
          <m:t>ΔT</m:t>
        </m:r>
        <m:sSub>
          <m:sSubPr>
            <m:ctrlPr>
              <w:rPr>
                <w:rFonts w:ascii="Cambria Math" w:eastAsia="Times New Roman" w:hAnsi="Cambria Math"/>
                <w:i/>
              </w:rPr>
            </m:ctrlPr>
          </m:sSubPr>
          <m:e>
            <m:r>
              <w:rPr>
                <w:rFonts w:ascii="Cambria Math" w:eastAsia="Times New Roman"/>
              </w:rPr>
              <m:t>A</m:t>
            </m:r>
          </m:e>
          <m:sub>
            <m:r>
              <w:rPr>
                <w:rFonts w:ascii="Cambria Math" w:eastAsia="Times New Roman"/>
              </w:rPr>
              <m:t>t</m:t>
            </m:r>
            <m:func>
              <m:funcPr>
                <m:ctrlPr>
                  <w:rPr>
                    <w:rFonts w:ascii="Cambria Math" w:eastAsia="Times New Roman" w:hAnsi="Cambria Math"/>
                    <w:i/>
                  </w:rPr>
                </m:ctrlPr>
              </m:funcPr>
              <m:fName>
                <m:r>
                  <w:rPr>
                    <w:rFonts w:ascii="Cambria Math" w:eastAsia="Times New Roman"/>
                  </w:rPr>
                  <m:t>arg</m:t>
                </m:r>
              </m:fName>
              <m:e>
                <m:r>
                  <w:rPr>
                    <w:rFonts w:ascii="Cambria Math" w:eastAsia="Times New Roman"/>
                  </w:rPr>
                  <m:t>e</m:t>
                </m:r>
              </m:e>
            </m:func>
            <m:r>
              <w:rPr>
                <w:rFonts w:ascii="Cambria Math" w:eastAsia="Times New Roman"/>
              </w:rPr>
              <m:t>t</m:t>
            </m:r>
          </m:sub>
        </m:sSub>
        <m:r>
          <w:rPr>
            <w:rFonts w:ascii="Cambria Math" w:eastAsia="Times New Roman"/>
          </w:rPr>
          <m:t>=ΔT</m:t>
        </m:r>
        <m:sSub>
          <m:sSubPr>
            <m:ctrlPr>
              <w:rPr>
                <w:rFonts w:ascii="Cambria Math" w:eastAsia="Times New Roman" w:hAnsi="Cambria Math"/>
                <w:i/>
              </w:rPr>
            </m:ctrlPr>
          </m:sSubPr>
          <m:e>
            <m:r>
              <w:rPr>
                <w:rFonts w:ascii="Cambria Math" w:eastAsia="Times New Roman"/>
              </w:rPr>
              <m:t>A</m:t>
            </m:r>
          </m:e>
          <m:sub>
            <m:r>
              <w:rPr>
                <w:rFonts w:ascii="Cambria Math" w:eastAsia="Times New Roman"/>
              </w:rPr>
              <m:t>source</m:t>
            </m:r>
          </m:sub>
        </m:sSub>
        <m:r>
          <w:rPr>
            <w:rFonts w:ascii="Cambria Math" w:eastAsia="Times New Roman"/>
          </w:rPr>
          <m:t>+2Δ(</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DR,source</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DR,t</m:t>
            </m:r>
            <m:func>
              <m:funcPr>
                <m:ctrlPr>
                  <w:rPr>
                    <w:rFonts w:ascii="Cambria Math" w:eastAsia="Times New Roman" w:hAnsi="Cambria Math"/>
                    <w:i/>
                  </w:rPr>
                </m:ctrlPr>
              </m:funcPr>
              <m:fName>
                <m:r>
                  <w:rPr>
                    <w:rFonts w:ascii="Cambria Math" w:eastAsia="Times New Roman"/>
                  </w:rPr>
                  <m:t>arg</m:t>
                </m:r>
              </m:fName>
              <m:e>
                <m:r>
                  <w:rPr>
                    <w:rFonts w:ascii="Cambria Math" w:eastAsia="Times New Roman"/>
                  </w:rPr>
                  <m:t>e</m:t>
                </m:r>
              </m:e>
            </m:func>
            <m:r>
              <w:rPr>
                <w:rFonts w:ascii="Cambria Math" w:eastAsia="Times New Roman"/>
              </w:rPr>
              <m:t>t</m:t>
            </m:r>
          </m:sub>
        </m:sSub>
        <m:r>
          <w:rPr>
            <w:rFonts w:ascii="Cambria Math" w:eastAsia="Times New Roman"/>
          </w:rPr>
          <m:t>)+2Δ(</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DT,source</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DT,traget</m:t>
            </m:r>
          </m:sub>
        </m:sSub>
        <m:r>
          <w:rPr>
            <w:rFonts w:ascii="Cambria Math" w:eastAsia="Times New Roman"/>
          </w:rPr>
          <m:t>)</m:t>
        </m:r>
      </m:oMath>
      <w:r w:rsidR="00A43D32">
        <w:tab/>
      </w:r>
      <w:r w:rsidR="00A43D32">
        <w:tab/>
      </w:r>
      <w:r w:rsidR="00A43D32">
        <w:tab/>
      </w:r>
      <w:r w:rsidR="00A43D32">
        <w:tab/>
      </w:r>
      <w:r w:rsidR="00A43D32">
        <w:tab/>
      </w:r>
      <w:r w:rsidR="00A43D32">
        <w:tab/>
      </w:r>
      <w:r w:rsidR="00A43D32">
        <w:rPr>
          <w:rFonts w:eastAsia="Times New Roman"/>
          <w:sz w:val="24"/>
          <w:szCs w:val="24"/>
        </w:rPr>
        <w:t xml:space="preserve"> (1)</w:t>
      </w:r>
    </w:p>
    <w:p w14:paraId="6B559D2B" w14:textId="77777777" w:rsidR="00A43D32" w:rsidRDefault="00A43D32" w:rsidP="00A43D32">
      <w:pPr>
        <w:rPr>
          <w:lang w:val="en-US" w:eastAsia="zh-CN"/>
        </w:rPr>
      </w:pPr>
      <w:r>
        <w:rPr>
          <w:lang w:val="en-US" w:eastAsia="zh-CN"/>
        </w:rPr>
        <w:t>where</w:t>
      </w:r>
    </w:p>
    <w:p w14:paraId="4E7B665E" w14:textId="77777777" w:rsidR="00A43D32" w:rsidRDefault="00B93CC5" w:rsidP="00B93CC5">
      <m:oMath>
        <m:r>
          <w:rPr>
            <w:rFonts w:ascii="Cambria Math" w:eastAsia="Times New Roman"/>
          </w:rPr>
          <m:t>ΔT</m:t>
        </m:r>
        <m:sSub>
          <m:sSubPr>
            <m:ctrlPr>
              <w:rPr>
                <w:rFonts w:ascii="Cambria Math" w:eastAsia="Times New Roman" w:hAnsi="Cambria Math"/>
                <w:i/>
              </w:rPr>
            </m:ctrlPr>
          </m:sSubPr>
          <m:e>
            <m:r>
              <w:rPr>
                <w:rFonts w:ascii="Cambria Math" w:eastAsia="Times New Roman"/>
              </w:rPr>
              <m:t>A</m:t>
            </m:r>
          </m:e>
          <m:sub>
            <m:r>
              <w:rPr>
                <w:rFonts w:ascii="Cambria Math" w:eastAsia="Times New Roman"/>
              </w:rPr>
              <m:t>source</m:t>
            </m:r>
          </m:sub>
        </m:sSub>
      </m:oMath>
      <w:r w:rsidR="00A43D32">
        <w:t xml:space="preserve"> is the uncertainty of the source cell TA value. </w:t>
      </w:r>
      <w:r w:rsidR="0046130A">
        <w:t>Following the same approach as LTE, t</w:t>
      </w:r>
      <w:r w:rsidR="00A43D32">
        <w:t>he optimistic uncertainty is ±</w:t>
      </w:r>
      <w:r w:rsidR="0046130A">
        <w:t>0.5*timing advance command step size</w:t>
      </w:r>
      <w:r w:rsidR="00A43D32">
        <w:t xml:space="preserve"> based on the allowed UE error</w:t>
      </w:r>
      <w:r w:rsidR="0046130A">
        <w:t>, giving</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6130A" w14:paraId="7390B2E6" w14:textId="77777777" w:rsidTr="0046130A">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6F1305C7" w14:textId="77777777" w:rsidR="0046130A" w:rsidRDefault="0046130A">
            <w:pPr>
              <w:pStyle w:val="TAH"/>
              <w:rPr>
                <w:lang w:eastAsia="en-US"/>
              </w:rPr>
            </w:pPr>
            <w:r>
              <w:t>UL 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47D19722" w14:textId="77777777" w:rsidR="0046130A" w:rsidRDefault="0046130A">
            <w:pPr>
              <w:pStyle w:val="TAH"/>
              <w:rPr>
                <w:lang w:val="en-US"/>
              </w:rPr>
            </w:pPr>
            <w: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9FC64C" w14:textId="77777777" w:rsidR="0046130A" w:rsidRDefault="0046130A">
            <w:pPr>
              <w:pStyle w:val="TAH"/>
              <w:rPr>
                <w:lang w:val="en-US"/>
              </w:rPr>
            </w:pPr>
            <w: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72E5E" w14:textId="77777777" w:rsidR="0046130A" w:rsidRDefault="0046130A">
            <w:pPr>
              <w:pStyle w:val="TAH"/>
              <w:rPr>
                <w:lang w:val="en-US"/>
              </w:rP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AC767" w14:textId="77777777" w:rsidR="0046130A" w:rsidRDefault="0046130A">
            <w:pPr>
              <w:pStyle w:val="TAH"/>
              <w:rPr>
                <w:lang w:val="en-US"/>
              </w:rPr>
            </w:pPr>
            <w:r>
              <w:t>120</w:t>
            </w:r>
          </w:p>
        </w:tc>
      </w:tr>
      <w:tr w:rsidR="0046130A" w14:paraId="3678F93C" w14:textId="77777777" w:rsidTr="0046130A">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112C24C2" w14:textId="77777777" w:rsidR="0046130A" w:rsidRDefault="0046130A">
            <w:pPr>
              <w:pStyle w:val="TAH"/>
            </w:pPr>
            <w:r>
              <w:rPr>
                <w:rFonts w:ascii="Times New Roman" w:eastAsia="Times New Roman" w:hAnsi="Times New Roman"/>
                <w:position w:val="-12"/>
                <w:sz w:val="20"/>
                <w:lang w:eastAsia="en-US"/>
              </w:rPr>
              <w:object w:dxaOrig="840" w:dyaOrig="360" w14:anchorId="6401E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v:imagedata r:id="rId14" o:title=""/>
                </v:shape>
                <o:OLEObject Type="Embed" ProgID="Equation.3" ShapeID="_x0000_i1025" DrawAspect="Content" ObjectID="_1627478233" r:id="rId15"/>
              </w:object>
            </w:r>
          </w:p>
        </w:tc>
        <w:tc>
          <w:tcPr>
            <w:tcW w:w="982" w:type="dxa"/>
            <w:tcBorders>
              <w:top w:val="single" w:sz="4" w:space="0" w:color="auto"/>
              <w:left w:val="single" w:sz="4" w:space="0" w:color="auto"/>
              <w:bottom w:val="single" w:sz="4" w:space="0" w:color="auto"/>
              <w:right w:val="single" w:sz="4" w:space="0" w:color="auto"/>
            </w:tcBorders>
            <w:vAlign w:val="center"/>
            <w:hideMark/>
          </w:tcPr>
          <w:p w14:paraId="658ADC0C" w14:textId="77777777" w:rsidR="0046130A" w:rsidRDefault="0046130A">
            <w:pPr>
              <w:pStyle w:val="TAC"/>
              <w:rPr>
                <w:lang w:val="en-US"/>
              </w:rPr>
            </w:pPr>
            <w:r>
              <w:rPr>
                <w:szCs w:val="22"/>
                <w:lang w:val="en-US"/>
              </w:rPr>
              <w:t>±128</w:t>
            </w:r>
            <w:r>
              <w:t xml:space="preserve"> T</w:t>
            </w:r>
            <w:r>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28B3B2" w14:textId="77777777" w:rsidR="0046130A" w:rsidRDefault="0046130A">
            <w:pPr>
              <w:pStyle w:val="TAC"/>
              <w:rPr>
                <w:lang w:val="en-US"/>
              </w:rPr>
            </w:pPr>
            <w:r>
              <w:rPr>
                <w:szCs w:val="22"/>
                <w:lang w:val="en-US"/>
              </w:rPr>
              <w:t>±128</w:t>
            </w:r>
            <w:r>
              <w:t xml:space="preserve"> T</w:t>
            </w:r>
            <w:r>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826665" w14:textId="77777777" w:rsidR="0046130A" w:rsidRDefault="0046130A">
            <w:pPr>
              <w:pStyle w:val="TAC"/>
              <w:rPr>
                <w:lang w:val="en-US"/>
              </w:rPr>
            </w:pPr>
            <w:r>
              <w:rPr>
                <w:szCs w:val="22"/>
                <w:lang w:val="en-US"/>
              </w:rPr>
              <w:t>±64</w:t>
            </w:r>
            <w:r>
              <w:t xml:space="preserve"> T</w:t>
            </w:r>
            <w:r>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EE30B" w14:textId="77777777" w:rsidR="0046130A" w:rsidRDefault="0046130A">
            <w:pPr>
              <w:pStyle w:val="TAC"/>
              <w:rPr>
                <w:lang w:val="en-US"/>
              </w:rPr>
            </w:pPr>
            <w:r>
              <w:rPr>
                <w:szCs w:val="22"/>
                <w:lang w:val="en-US"/>
              </w:rPr>
              <w:t>±16</w:t>
            </w:r>
            <w:r>
              <w:t xml:space="preserve"> T</w:t>
            </w:r>
            <w:r>
              <w:rPr>
                <w:vertAlign w:val="subscript"/>
              </w:rPr>
              <w:t>c</w:t>
            </w:r>
          </w:p>
        </w:tc>
      </w:tr>
    </w:tbl>
    <w:p w14:paraId="59FE3D46" w14:textId="77777777" w:rsidR="0046130A" w:rsidRDefault="0046130A" w:rsidP="00A43D32"/>
    <w:p w14:paraId="09819567" w14:textId="5DDE0050" w:rsidR="00A43D32" w:rsidRDefault="00B93CC5" w:rsidP="00B93CC5">
      <m:oMath>
        <m:r>
          <w:rPr>
            <w:rFonts w:ascii="Cambria Math" w:eastAsia="Times New Roman"/>
          </w:rPr>
          <m:t>Δ(</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DR,source</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DR,t</m:t>
            </m:r>
            <m:func>
              <m:funcPr>
                <m:ctrlPr>
                  <w:rPr>
                    <w:rFonts w:ascii="Cambria Math" w:eastAsia="Times New Roman" w:hAnsi="Cambria Math"/>
                    <w:i/>
                  </w:rPr>
                </m:ctrlPr>
              </m:funcPr>
              <m:fName>
                <m:r>
                  <w:rPr>
                    <w:rFonts w:ascii="Cambria Math" w:eastAsia="Times New Roman"/>
                  </w:rPr>
                  <m:t>arg</m:t>
                </m:r>
              </m:fName>
              <m:e>
                <m:r>
                  <w:rPr>
                    <w:rFonts w:ascii="Cambria Math" w:eastAsia="Times New Roman"/>
                  </w:rPr>
                  <m:t>e</m:t>
                </m:r>
              </m:e>
            </m:func>
            <m:r>
              <w:rPr>
                <w:rFonts w:ascii="Cambria Math" w:eastAsia="Times New Roman"/>
              </w:rPr>
              <m:t>t</m:t>
            </m:r>
          </m:sub>
        </m:sSub>
        <m:r>
          <w:rPr>
            <w:rFonts w:ascii="Cambria Math" w:eastAsia="Times New Roman"/>
          </w:rPr>
          <m:t>)</m:t>
        </m:r>
      </m:oMath>
      <w:r>
        <w:t xml:space="preserve"> </w:t>
      </w:r>
      <w:r w:rsidR="00A43D32">
        <w:t xml:space="preserve">is the uncertainty of the relative reception time in the UE of the source and target downlinks. </w:t>
      </w:r>
      <w:r w:rsidR="006A3642">
        <w:t xml:space="preserve">For SFTD measurement, an accuracy of </w:t>
      </w:r>
      <w:r w:rsidR="006A3642">
        <w:rPr>
          <w:szCs w:val="22"/>
          <w:lang w:val="en-US"/>
        </w:rPr>
        <w:t>±</w:t>
      </w:r>
      <w:r w:rsidR="006A3642" w:rsidRPr="006A3642">
        <w:t>[40</w:t>
      </w:r>
      <w:r w:rsidR="006A3642">
        <w:t>]</w:t>
      </w:r>
      <w:r w:rsidR="006A3642" w:rsidRPr="006A3642">
        <w:t>*64*Tc</w:t>
      </w:r>
      <w:r w:rsidR="006A3642">
        <w:t xml:space="preserve"> has been specified </w:t>
      </w:r>
      <w:r w:rsidR="00E21864">
        <w:t>e.g.</w:t>
      </w:r>
      <w:r w:rsidR="006A3642">
        <w:t xml:space="preserve"> for FR1-FR2 NR-DC and an SNR down to -3dB. </w:t>
      </w:r>
      <w:r>
        <w:t>This has been specified in a generic manner for different SCS, however it is expected that the baseband uncertainty for larger SCS will be significantly smaller due to the higher sampling rate used. In addition, the requirement generically covers all cases including interfrequency and interband SFTD measurement. In case the carriers are measured with the same RF receiver, there is no RF contribution to the uncertainity.</w:t>
      </w:r>
    </w:p>
    <w:p w14:paraId="4B4D4445" w14:textId="77777777" w:rsidR="00A43D32" w:rsidRPr="006A3642" w:rsidRDefault="00B93CC5" w:rsidP="00B93CC5">
      <m:oMath>
        <m:r>
          <w:rPr>
            <w:rFonts w:ascii="Cambria Math" w:eastAsia="Times New Roman"/>
          </w:rPr>
          <m:t>Δ(</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DT,source</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DT,t</m:t>
            </m:r>
            <m:func>
              <m:funcPr>
                <m:ctrlPr>
                  <w:rPr>
                    <w:rFonts w:ascii="Cambria Math" w:eastAsia="Times New Roman" w:hAnsi="Cambria Math"/>
                    <w:i/>
                  </w:rPr>
                </m:ctrlPr>
              </m:funcPr>
              <m:fName>
                <m:r>
                  <w:rPr>
                    <w:rFonts w:ascii="Cambria Math" w:eastAsia="Times New Roman"/>
                  </w:rPr>
                  <m:t>arg</m:t>
                </m:r>
              </m:fName>
              <m:e>
                <m:r>
                  <w:rPr>
                    <w:rFonts w:ascii="Cambria Math" w:eastAsia="Times New Roman"/>
                  </w:rPr>
                  <m:t>e</m:t>
                </m:r>
              </m:e>
            </m:func>
            <m:r>
              <w:rPr>
                <w:rFonts w:ascii="Cambria Math" w:eastAsia="Times New Roman"/>
              </w:rPr>
              <m:t>t</m:t>
            </m:r>
          </m:sub>
        </m:sSub>
        <m:r>
          <w:rPr>
            <w:rFonts w:ascii="Cambria Math" w:eastAsia="Times New Roman"/>
          </w:rPr>
          <m:t>)</m:t>
        </m:r>
      </m:oMath>
      <w:r>
        <w:t xml:space="preserve"> </w:t>
      </w:r>
      <w:r w:rsidR="00A43D32">
        <w:t xml:space="preserve">is the uncertainty of the relative transmission timing of the source and the target cell. </w:t>
      </w:r>
      <w:r w:rsidR="0046130A">
        <w:t xml:space="preserve">As discussed above, the network should have knowledge that </w:t>
      </w:r>
      <w:r w:rsidR="0046130A">
        <w:rPr>
          <w:rFonts w:eastAsia="Times New Roman"/>
          <w:position w:val="-14"/>
        </w:rPr>
        <w:object w:dxaOrig="2130" w:dyaOrig="375" w14:anchorId="38D624C6">
          <v:shape id="_x0000_i1026" type="#_x0000_t75" style="width:106.5pt;height:19pt" o:ole="">
            <v:imagedata r:id="rId16" o:title=""/>
          </v:shape>
          <o:OLEObject Type="Embed" ProgID="Equation.3" ShapeID="_x0000_i1026" DrawAspect="Content" ObjectID="_1627478234" r:id="rId17"/>
        </w:object>
      </w:r>
      <w:r w:rsidR="0046130A">
        <w:rPr>
          <w:rFonts w:eastAsia="Times New Roman"/>
        </w:rPr>
        <w:t>is uncertainty small, and should not use RACHless handover in cases where the source and target are not well synchonised</w:t>
      </w:r>
    </w:p>
    <w:p w14:paraId="6E40D937" w14:textId="09CD1AE2" w:rsidR="006A3642" w:rsidRDefault="00B93CC5" w:rsidP="00B93CC5">
      <w:r>
        <w:rPr>
          <w:lang w:val="en-US" w:eastAsia="zh-CN"/>
        </w:rPr>
        <w:lastRenderedPageBreak/>
        <w:t xml:space="preserve">Performing a worst case analysis for 15kHz DL and UL SCS based on </w:t>
      </w:r>
      <w:r w:rsidR="005967D7">
        <w:rPr>
          <w:lang w:val="en-US" w:eastAsia="zh-CN"/>
        </w:rPr>
        <w:t>2</w:t>
      </w:r>
      <m:oMath>
        <m:r>
          <w:rPr>
            <w:rFonts w:ascii="Cambria Math" w:eastAsia="Times New Roman"/>
          </w:rPr>
          <m:t>Δ</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T</m:t>
                </m:r>
              </m:e>
              <m:sub>
                <m:r>
                  <w:rPr>
                    <w:rFonts w:ascii="Cambria Math" w:eastAsia="Times New Roman"/>
                  </w:rPr>
                  <m:t>DR,source</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DR,t</m:t>
                </m:r>
                <m:func>
                  <m:funcPr>
                    <m:ctrlPr>
                      <w:rPr>
                        <w:rFonts w:ascii="Cambria Math" w:eastAsia="Times New Roman" w:hAnsi="Cambria Math"/>
                        <w:i/>
                      </w:rPr>
                    </m:ctrlPr>
                  </m:funcPr>
                  <m:fName>
                    <m:r>
                      <w:rPr>
                        <w:rFonts w:ascii="Cambria Math" w:eastAsia="Times New Roman"/>
                      </w:rPr>
                      <m:t>arg</m:t>
                    </m:r>
                  </m:fName>
                  <m:e>
                    <m:r>
                      <w:rPr>
                        <w:rFonts w:ascii="Cambria Math" w:eastAsia="Times New Roman"/>
                      </w:rPr>
                      <m:t>e</m:t>
                    </m:r>
                  </m:e>
                </m:func>
                <m:r>
                  <w:rPr>
                    <w:rFonts w:ascii="Cambria Math" w:eastAsia="Times New Roman"/>
                  </w:rPr>
                  <m:t>t</m:t>
                </m:r>
              </m:sub>
            </m:sSub>
          </m:e>
        </m:d>
        <m:r>
          <w:rPr>
            <w:rFonts w:ascii="Cambria Math" w:hAnsi="Cambria Math"/>
          </w:rPr>
          <m:t>=</m:t>
        </m:r>
        <m:r>
          <m:rPr>
            <m:sty m:val="p"/>
          </m:rPr>
          <w:rPr>
            <w:rFonts w:ascii="Cambria Math" w:hAnsi="Cambria Math"/>
            <w:szCs w:val="22"/>
            <w:lang w:val="en-US"/>
          </w:rPr>
          <m:t>±</m:t>
        </m:r>
        <m:r>
          <m:rPr>
            <m:sty m:val="p"/>
          </m:rPr>
          <w:rPr>
            <w:rFonts w:ascii="Cambria Math" w:hAnsi="Cambria Math"/>
          </w:rPr>
          <m:t xml:space="preserve">80*64*Tc </m:t>
        </m:r>
      </m:oMath>
      <w: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T</m:t>
                </m:r>
              </m:e>
              <m:sub>
                <m:r>
                  <w:rPr>
                    <w:rFonts w:ascii="Cambria Math" w:eastAsia="Times New Roman"/>
                  </w:rPr>
                  <m:t>DT,source</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DT,t</m:t>
                </m:r>
                <m:func>
                  <m:funcPr>
                    <m:ctrlPr>
                      <w:rPr>
                        <w:rFonts w:ascii="Cambria Math" w:eastAsia="Times New Roman" w:hAnsi="Cambria Math"/>
                        <w:i/>
                      </w:rPr>
                    </m:ctrlPr>
                  </m:funcPr>
                  <m:fName>
                    <m:r>
                      <w:rPr>
                        <w:rFonts w:ascii="Cambria Math" w:eastAsia="Times New Roman"/>
                      </w:rPr>
                      <m:t>arg</m:t>
                    </m:r>
                  </m:fName>
                  <m:e>
                    <m:r>
                      <w:rPr>
                        <w:rFonts w:ascii="Cambria Math" w:eastAsia="Times New Roman"/>
                      </w:rPr>
                      <m:t>e</m:t>
                    </m:r>
                  </m:e>
                </m:func>
                <m:r>
                  <w:rPr>
                    <w:rFonts w:ascii="Cambria Math" w:eastAsia="Times New Roman"/>
                  </w:rPr>
                  <m:t>t</m:t>
                </m:r>
              </m:sub>
            </m:sSub>
          </m:e>
        </m:d>
        <m:r>
          <w:rPr>
            <w:rFonts w:ascii="Cambria Math" w:eastAsia="Times New Roman"/>
          </w:rPr>
          <m:t xml:space="preserve">=0 </m:t>
        </m:r>
      </m:oMath>
      <w:r>
        <w:t xml:space="preserve">(perfectly synchronised gNB) and </w:t>
      </w:r>
      <m:oMath>
        <m:r>
          <w:rPr>
            <w:rFonts w:ascii="Cambria Math" w:eastAsia="Times New Roman"/>
          </w:rPr>
          <m:t>T</m:t>
        </m:r>
        <m:sSub>
          <m:sSubPr>
            <m:ctrlPr>
              <w:rPr>
                <w:rFonts w:ascii="Cambria Math" w:eastAsia="Times New Roman" w:hAnsi="Cambria Math"/>
                <w:i/>
              </w:rPr>
            </m:ctrlPr>
          </m:sSubPr>
          <m:e>
            <m:r>
              <w:rPr>
                <w:rFonts w:ascii="Cambria Math" w:eastAsia="Times New Roman"/>
              </w:rPr>
              <m:t>A</m:t>
            </m:r>
          </m:e>
          <m:sub>
            <m:r>
              <w:rPr>
                <w:rFonts w:ascii="Cambria Math" w:eastAsia="Times New Roman"/>
              </w:rPr>
              <m:t>source</m:t>
            </m:r>
          </m:sub>
        </m:sSub>
        <m:r>
          <w:rPr>
            <w:rFonts w:ascii="Cambria Math" w:eastAsia="Times New Roman"/>
          </w:rPr>
          <m:t>=</m:t>
        </m:r>
        <m:r>
          <m:rPr>
            <m:sty m:val="p"/>
          </m:rPr>
          <w:rPr>
            <w:rFonts w:ascii="Cambria Math" w:hAnsi="Cambria Math"/>
            <w:szCs w:val="22"/>
            <w:lang w:val="en-US"/>
          </w:rPr>
          <m:t>±</m:t>
        </m:r>
        <m:r>
          <m:rPr>
            <m:sty m:val="p"/>
          </m:rPr>
          <w:rPr>
            <w:rFonts w:ascii="Cambria Math" w:hAnsi="Cambria Math"/>
          </w:rPr>
          <m:t>1*64*Tc</m:t>
        </m:r>
      </m:oMath>
      <w:r>
        <w:t xml:space="preserve"> gives an uncertainty in </w:t>
      </w:r>
      <m:oMath>
        <m:r>
          <w:rPr>
            <w:rFonts w:ascii="Cambria Math" w:eastAsia="Times New Roman"/>
          </w:rPr>
          <m:t>ΔT</m:t>
        </m:r>
        <m:sSub>
          <m:sSubPr>
            <m:ctrlPr>
              <w:rPr>
                <w:rFonts w:ascii="Cambria Math" w:eastAsia="Times New Roman" w:hAnsi="Cambria Math"/>
                <w:i/>
              </w:rPr>
            </m:ctrlPr>
          </m:sSubPr>
          <m:e>
            <m:r>
              <w:rPr>
                <w:rFonts w:ascii="Cambria Math" w:eastAsia="Times New Roman"/>
              </w:rPr>
              <m:t>A</m:t>
            </m:r>
          </m:e>
          <m:sub>
            <m:r>
              <w:rPr>
                <w:rFonts w:ascii="Cambria Math" w:eastAsia="Times New Roman"/>
              </w:rPr>
              <m:t>t</m:t>
            </m:r>
            <m:func>
              <m:funcPr>
                <m:ctrlPr>
                  <w:rPr>
                    <w:rFonts w:ascii="Cambria Math" w:eastAsia="Times New Roman" w:hAnsi="Cambria Math"/>
                    <w:i/>
                  </w:rPr>
                </m:ctrlPr>
              </m:funcPr>
              <m:fName>
                <m:r>
                  <w:rPr>
                    <w:rFonts w:ascii="Cambria Math" w:eastAsia="Times New Roman"/>
                  </w:rPr>
                  <m:t>arg</m:t>
                </m:r>
              </m:fName>
              <m:e>
                <m:r>
                  <w:rPr>
                    <w:rFonts w:ascii="Cambria Math" w:eastAsia="Times New Roman"/>
                  </w:rPr>
                  <m:t>e</m:t>
                </m:r>
              </m:e>
            </m:func>
            <m:r>
              <w:rPr>
                <w:rFonts w:ascii="Cambria Math" w:eastAsia="Times New Roman"/>
              </w:rPr>
              <m:t>t</m:t>
            </m:r>
          </m:sub>
        </m:sSub>
      </m:oMath>
      <w:r>
        <w:t xml:space="preserve"> of </w:t>
      </w:r>
      <m:oMath>
        <m:r>
          <m:rPr>
            <m:sty m:val="p"/>
          </m:rPr>
          <w:rPr>
            <w:rFonts w:ascii="Cambria Math" w:hAnsi="Cambria Math"/>
            <w:szCs w:val="22"/>
            <w:lang w:val="en-US"/>
          </w:rPr>
          <m:t>±</m:t>
        </m:r>
        <m:r>
          <m:rPr>
            <m:sty m:val="p"/>
          </m:rPr>
          <w:rPr>
            <w:rFonts w:ascii="Cambria Math" w:hAnsi="Cambria Math"/>
          </w:rPr>
          <m:t>81*64*Tc</m:t>
        </m:r>
      </m:oMath>
      <w:r w:rsidR="008B2FBC">
        <w:t>≈±2.</w:t>
      </w:r>
      <w:r w:rsidR="005967D7">
        <w:t>63</w:t>
      </w:r>
      <w:r w:rsidR="008B2FBC">
        <w:t xml:space="preserve">µs. Since the uncertainty is of a similar order </w:t>
      </w:r>
      <w:r w:rsidR="005967D7">
        <w:t>and actually exceeds</w:t>
      </w:r>
      <w:r w:rsidR="008B2FBC">
        <w:t xml:space="preserve"> the cyclic prefix for 15kHz( uncertainty range of </w:t>
      </w:r>
      <w:r w:rsidR="005967D7">
        <w:t>5.27</w:t>
      </w:r>
      <w:r w:rsidR="008B2FBC">
        <w:t xml:space="preserve">µs versus CP length of 4.7µs, an initial conclusion would be that the UE calculated method is not sufficiently accurate. However, this is based </w:t>
      </w:r>
      <w:r w:rsidR="005967D7">
        <w:t xml:space="preserve">on a rather generic SFTD requirement, and the premise of UE calculated timing at beam switch( in FR2 where </w:t>
      </w:r>
      <w:r w:rsidR="00C36D9B">
        <w:t xml:space="preserve">SCS is larger and timing requirements are much </w:t>
      </w:r>
      <w:r w:rsidR="00C33561">
        <w:t>stricter</w:t>
      </w:r>
      <w:r w:rsidR="00C36D9B">
        <w:t>)</w:t>
      </w:r>
      <w:r w:rsidR="005967D7">
        <w:t xml:space="preserve"> is that the UE can beneficially adjust the uplink timing when the downlink propagation path changes.</w:t>
      </w:r>
    </w:p>
    <w:p w14:paraId="48D9FE21" w14:textId="77777777" w:rsidR="00C36D9B" w:rsidRDefault="00C36D9B" w:rsidP="00B93CC5">
      <w:pPr>
        <w:rPr>
          <w:rFonts w:eastAsia="Times New Roman"/>
        </w:rPr>
      </w:pPr>
      <w:r>
        <w:rPr>
          <w:rFonts w:eastAsia="Times New Roman"/>
        </w:rPr>
        <w:t>From this analysis however, we can conclude that UE calculated TA may have problems in some scenarios including</w:t>
      </w:r>
    </w:p>
    <w:p w14:paraId="6DF7083C" w14:textId="34998BFC" w:rsidR="00C36D9B" w:rsidRPr="00DC663F" w:rsidRDefault="00C36D9B" w:rsidP="00C36D9B">
      <w:pPr>
        <w:pStyle w:val="ListParagraph"/>
        <w:numPr>
          <w:ilvl w:val="0"/>
          <w:numId w:val="42"/>
        </w:numPr>
        <w:rPr>
          <w:sz w:val="20"/>
          <w:szCs w:val="20"/>
        </w:rPr>
      </w:pPr>
      <w:r w:rsidRPr="00DC663F">
        <w:rPr>
          <w:sz w:val="20"/>
          <w:szCs w:val="20"/>
          <w:lang w:val="en-GB"/>
        </w:rPr>
        <w:t xml:space="preserve">Handover from a </w:t>
      </w:r>
      <w:r w:rsidR="00595154" w:rsidRPr="00DC663F">
        <w:rPr>
          <w:sz w:val="20"/>
          <w:szCs w:val="20"/>
          <w:lang w:val="en-GB"/>
        </w:rPr>
        <w:t xml:space="preserve">cell with a small DL SSB </w:t>
      </w:r>
      <w:r w:rsidRPr="00DC663F">
        <w:rPr>
          <w:sz w:val="20"/>
          <w:szCs w:val="20"/>
          <w:lang w:val="en-GB"/>
        </w:rPr>
        <w:t>SCS to a</w:t>
      </w:r>
      <w:r w:rsidR="00595154" w:rsidRPr="00DC663F">
        <w:rPr>
          <w:sz w:val="20"/>
          <w:szCs w:val="20"/>
          <w:lang w:val="en-GB"/>
        </w:rPr>
        <w:t xml:space="preserve"> cell with a</w:t>
      </w:r>
      <w:r w:rsidRPr="00DC663F">
        <w:rPr>
          <w:sz w:val="20"/>
          <w:szCs w:val="20"/>
          <w:lang w:val="en-GB"/>
        </w:rPr>
        <w:t xml:space="preserve"> large </w:t>
      </w:r>
      <w:r w:rsidR="00595154" w:rsidRPr="00DC663F">
        <w:rPr>
          <w:sz w:val="20"/>
          <w:szCs w:val="20"/>
          <w:lang w:val="en-GB"/>
        </w:rPr>
        <w:t xml:space="preserve">DL SSB </w:t>
      </w:r>
      <w:r w:rsidRPr="00DC663F">
        <w:rPr>
          <w:sz w:val="20"/>
          <w:szCs w:val="20"/>
          <w:lang w:val="en-GB"/>
        </w:rPr>
        <w:t>SCS (</w:t>
      </w:r>
      <w:r w:rsidR="00C33561" w:rsidRPr="00DC663F">
        <w:rPr>
          <w:sz w:val="20"/>
          <w:szCs w:val="20"/>
          <w:lang w:val="en-GB"/>
        </w:rPr>
        <w:t>e.g.</w:t>
      </w:r>
      <w:r w:rsidRPr="00DC663F">
        <w:rPr>
          <w:sz w:val="20"/>
          <w:szCs w:val="20"/>
          <w:lang w:val="en-GB"/>
        </w:rPr>
        <w:t xml:space="preserve"> FR1 to FR2 RACHless handover) </w:t>
      </w:r>
      <w:r w:rsidR="00595154" w:rsidRPr="00DC663F">
        <w:rPr>
          <w:sz w:val="20"/>
          <w:szCs w:val="20"/>
          <w:lang w:val="en-GB"/>
        </w:rPr>
        <w:t xml:space="preserve">with UE  calculated TA is not feasible </w:t>
      </w:r>
      <w:r w:rsidRPr="00DC663F">
        <w:rPr>
          <w:sz w:val="20"/>
          <w:szCs w:val="20"/>
          <w:lang w:val="en-GB"/>
        </w:rPr>
        <w:t>since the source cell timing granularity is not sufficient to determine an uplink timing which is suitably accurate considering the need of accurate timing in absolute terms on the large SCS target cell.</w:t>
      </w:r>
    </w:p>
    <w:p w14:paraId="3903D43E" w14:textId="77777777" w:rsidR="00C36D9B" w:rsidRPr="00DC663F" w:rsidRDefault="00595154" w:rsidP="00C36D9B">
      <w:pPr>
        <w:pStyle w:val="ListParagraph"/>
        <w:numPr>
          <w:ilvl w:val="0"/>
          <w:numId w:val="42"/>
        </w:numPr>
        <w:rPr>
          <w:sz w:val="20"/>
          <w:szCs w:val="20"/>
        </w:rPr>
      </w:pPr>
      <w:r w:rsidRPr="00DC663F">
        <w:rPr>
          <w:sz w:val="20"/>
          <w:szCs w:val="20"/>
          <w:lang w:val="en-GB"/>
        </w:rPr>
        <w:t>Handover from a cell with a small DL SSB SCS to a cell with a large UL SCS with UE calculated TA is not feasible since the target cell uplink timing needs to be accurately set</w:t>
      </w:r>
    </w:p>
    <w:p w14:paraId="62F21E78" w14:textId="77777777" w:rsidR="00595154" w:rsidRPr="00DC663F" w:rsidRDefault="00595154" w:rsidP="00C36D9B">
      <w:pPr>
        <w:pStyle w:val="ListParagraph"/>
        <w:numPr>
          <w:ilvl w:val="0"/>
          <w:numId w:val="42"/>
        </w:numPr>
        <w:rPr>
          <w:sz w:val="20"/>
          <w:szCs w:val="20"/>
        </w:rPr>
      </w:pPr>
      <w:r w:rsidRPr="00DC663F">
        <w:rPr>
          <w:sz w:val="20"/>
          <w:szCs w:val="20"/>
          <w:lang w:val="en-GB"/>
        </w:rPr>
        <w:t>Handover involving different RF chains (either UL or DL)  is likely not feasible due to the additional uncertainty in the relative difference in delay between the chains.</w:t>
      </w:r>
    </w:p>
    <w:p w14:paraId="7D87DA86" w14:textId="77777777" w:rsidR="00595154" w:rsidRDefault="00595154" w:rsidP="00595154"/>
    <w:p w14:paraId="5FD74D53" w14:textId="77777777" w:rsidR="00595154" w:rsidRDefault="00595154" w:rsidP="00595154">
      <w:r>
        <w:t>For this reason, we propose</w:t>
      </w:r>
    </w:p>
    <w:p w14:paraId="61BE52B9" w14:textId="77777777" w:rsidR="00595154" w:rsidRDefault="00595154" w:rsidP="00595154">
      <w:pPr>
        <w:rPr>
          <w:b/>
        </w:rPr>
      </w:pPr>
      <w:r>
        <w:rPr>
          <w:b/>
        </w:rPr>
        <w:t xml:space="preserve">Proposal 2: </w:t>
      </w:r>
      <w:r w:rsidR="004F1EFE">
        <w:rPr>
          <w:b/>
        </w:rPr>
        <w:t>RACHless handover with UE calculated TA is further analysed as a solution for intrafrequency handover between cells with the same UL and DL SSB SCS</w:t>
      </w:r>
    </w:p>
    <w:p w14:paraId="5D7880C9" w14:textId="77777777" w:rsidR="004F1EFE" w:rsidRDefault="004F1EFE" w:rsidP="004F1EFE">
      <w:pPr>
        <w:pStyle w:val="Heading2"/>
      </w:pPr>
      <w:r>
        <w:t xml:space="preserve">Feasibility of </w:t>
      </w:r>
      <w:r w:rsidRPr="007F68FE">
        <w:t>RACH-less handover in FR2</w:t>
      </w:r>
    </w:p>
    <w:p w14:paraId="72F18957" w14:textId="77777777" w:rsidR="004F1EFE" w:rsidRDefault="004F1EFE" w:rsidP="004F1EFE">
      <w:r>
        <w:t xml:space="preserve">The discussion for RACH-less handover in FR2 is related to the preallocated uplink grant. </w:t>
      </w:r>
      <w:r w:rsidR="00DC663F">
        <w:t>Since the suitable TCI state for the UE is initialised by the RACH procedure, a different solution is needed to determine which uplink resource(s) to preallocate.</w:t>
      </w:r>
    </w:p>
    <w:p w14:paraId="372EC525" w14:textId="77777777" w:rsidR="00DC663F" w:rsidRDefault="00DC663F" w:rsidP="004F1EFE">
      <w:r>
        <w:t>There are a number of different solutions possible</w:t>
      </w:r>
    </w:p>
    <w:p w14:paraId="184DDDB5" w14:textId="77777777" w:rsidR="00DC663F" w:rsidRPr="00DC663F" w:rsidRDefault="00DC663F" w:rsidP="00DC663F">
      <w:pPr>
        <w:pStyle w:val="ListParagraph"/>
        <w:numPr>
          <w:ilvl w:val="0"/>
          <w:numId w:val="43"/>
        </w:numPr>
        <w:rPr>
          <w:sz w:val="20"/>
          <w:szCs w:val="20"/>
        </w:rPr>
      </w:pPr>
      <w:r>
        <w:rPr>
          <w:sz w:val="20"/>
          <w:szCs w:val="20"/>
          <w:lang w:val="en-GB"/>
        </w:rPr>
        <w:t xml:space="preserve">Option 1: </w:t>
      </w:r>
      <w:r w:rsidRPr="00DC663F">
        <w:rPr>
          <w:sz w:val="20"/>
          <w:szCs w:val="20"/>
          <w:lang w:val="en-GB"/>
        </w:rPr>
        <w:t xml:space="preserve">The network </w:t>
      </w:r>
      <w:r>
        <w:rPr>
          <w:sz w:val="20"/>
          <w:szCs w:val="20"/>
          <w:lang w:val="en-GB"/>
        </w:rPr>
        <w:t>may try to determine a single, likely TCI state in advance, based on UE measurement reports, and preallocate resources associated with this TCI state. If the UE determines to use a different TCI state than the one it has preallocated resources for then it may fall back to a normal RACH based handover</w:t>
      </w:r>
    </w:p>
    <w:p w14:paraId="7E3F243E" w14:textId="77777777" w:rsidR="00DC663F" w:rsidRPr="00DC663F" w:rsidRDefault="00DC663F" w:rsidP="00DC663F">
      <w:pPr>
        <w:pStyle w:val="ListParagraph"/>
        <w:numPr>
          <w:ilvl w:val="0"/>
          <w:numId w:val="43"/>
        </w:numPr>
        <w:rPr>
          <w:sz w:val="20"/>
          <w:szCs w:val="20"/>
        </w:rPr>
      </w:pPr>
      <w:r>
        <w:rPr>
          <w:sz w:val="20"/>
          <w:szCs w:val="20"/>
          <w:lang w:val="en-GB"/>
        </w:rPr>
        <w:t>Option 2 : The network may preallocate resources for all possible TCI states, such that the UE always has a suitable resource allocation</w:t>
      </w:r>
    </w:p>
    <w:p w14:paraId="575E6744" w14:textId="77777777" w:rsidR="00DC663F" w:rsidRPr="00400220" w:rsidRDefault="00DC663F" w:rsidP="00DC663F">
      <w:pPr>
        <w:pStyle w:val="ListParagraph"/>
        <w:numPr>
          <w:ilvl w:val="0"/>
          <w:numId w:val="43"/>
        </w:numPr>
        <w:rPr>
          <w:sz w:val="20"/>
          <w:szCs w:val="20"/>
        </w:rPr>
      </w:pPr>
      <w:r>
        <w:rPr>
          <w:sz w:val="20"/>
          <w:szCs w:val="20"/>
          <w:lang w:val="en-GB"/>
        </w:rPr>
        <w:t>Option 3: Any intermediate approach between option 1 and option 2 is possible. The network may allocate resources associated with N different TCI states, where N&lt;TCI</w:t>
      </w:r>
      <w:r w:rsidRPr="00DC663F">
        <w:rPr>
          <w:sz w:val="20"/>
          <w:szCs w:val="20"/>
          <w:vertAlign w:val="subscript"/>
          <w:lang w:val="en-GB"/>
        </w:rPr>
        <w:t>ma</w:t>
      </w:r>
      <w:r>
        <w:rPr>
          <w:sz w:val="20"/>
          <w:szCs w:val="20"/>
          <w:vertAlign w:val="subscript"/>
          <w:lang w:val="en-GB"/>
        </w:rPr>
        <w:t xml:space="preserve">x. </w:t>
      </w:r>
      <w:r>
        <w:rPr>
          <w:sz w:val="20"/>
          <w:szCs w:val="20"/>
          <w:lang w:val="en-GB"/>
        </w:rPr>
        <w:t xml:space="preserve">In case the resources allocated </w:t>
      </w:r>
      <w:r w:rsidR="00400220">
        <w:rPr>
          <w:sz w:val="20"/>
          <w:szCs w:val="20"/>
          <w:lang w:val="en-GB"/>
        </w:rPr>
        <w:t>match to the resources the UE determines to use for the uplink, the RACH-less handover may be used, otherwise the UE falls back to a normal RACH based handover as in option 1.</w:t>
      </w:r>
    </w:p>
    <w:p w14:paraId="5BAC8893" w14:textId="77777777" w:rsidR="00400220" w:rsidRDefault="00400220" w:rsidP="00400220"/>
    <w:p w14:paraId="05004653" w14:textId="57F0E0D6" w:rsidR="00400220" w:rsidRDefault="00400220" w:rsidP="00400220">
      <w:r>
        <w:t xml:space="preserve">In our understanding, RAN2 is aware of this issue and relevant contributions have been submitted to RAN2 on the topic. In the end, there is a </w:t>
      </w:r>
      <w:r w:rsidR="00C33561">
        <w:t>trade-off</w:t>
      </w:r>
      <w:r>
        <w:t xml:space="preserve"> between the likelihood of the preallocated resources being suitable, and the number of resources that need to be preallocated for a UE which might not end up being used. RAN2 has not asked RAN4 for an opinion on this issue, and it is not necessary for RAN4 to discuss the issue to respond to an LS. Hence we propose</w:t>
      </w:r>
    </w:p>
    <w:p w14:paraId="7696863C" w14:textId="77777777" w:rsidR="00400220" w:rsidRPr="00400220" w:rsidRDefault="00400220" w:rsidP="00400220">
      <w:pPr>
        <w:rPr>
          <w:b/>
        </w:rPr>
      </w:pPr>
      <w:r>
        <w:rPr>
          <w:b/>
        </w:rPr>
        <w:t>Proposal 3: RAN4 does not need to discuss further the feasibility aspects of RACH-less handover in FR2 related to the preallocation of resources associated with different TCI states</w:t>
      </w:r>
    </w:p>
    <w:p w14:paraId="07A8B2D2" w14:textId="77777777" w:rsidR="006B6666" w:rsidRPr="006A3642" w:rsidRDefault="006B6666" w:rsidP="005967D7">
      <w:pPr>
        <w:pStyle w:val="Heading1"/>
        <w:rPr>
          <w:rFonts w:eastAsia="Times New Roman"/>
          <w:lang w:val="en-US" w:eastAsia="zh-CN"/>
        </w:rPr>
      </w:pPr>
      <w:r w:rsidRPr="00F329D4">
        <w:rPr>
          <w:lang w:val="en-US" w:eastAsia="zh-CN"/>
        </w:rPr>
        <w:t>Conclusions</w:t>
      </w:r>
    </w:p>
    <w:p w14:paraId="6DE0E20D" w14:textId="1A5E5A40" w:rsidR="004F1EFE" w:rsidRPr="004F1EFE" w:rsidRDefault="004F1EFE" w:rsidP="004F1EFE">
      <w:pPr>
        <w:rPr>
          <w:lang w:val="en-US" w:eastAsia="zh-CN"/>
        </w:rPr>
      </w:pPr>
      <w:r w:rsidRPr="004F1EFE">
        <w:rPr>
          <w:lang w:val="en-US" w:eastAsia="zh-CN"/>
        </w:rPr>
        <w:t xml:space="preserve">In this </w:t>
      </w:r>
      <w:r>
        <w:rPr>
          <w:lang w:val="en-US" w:eastAsia="zh-CN"/>
        </w:rPr>
        <w:t xml:space="preserve">contribution we discuss further the </w:t>
      </w:r>
      <w:r w:rsidR="00400220">
        <w:rPr>
          <w:lang w:val="en-US" w:eastAsia="zh-CN"/>
        </w:rPr>
        <w:t xml:space="preserve">issues related to NR RACHless handover for mobility enhancements. For the feasibility of RACHless handover with </w:t>
      </w:r>
      <w:r w:rsidR="00C33561">
        <w:rPr>
          <w:lang w:val="en-US" w:eastAsia="zh-CN"/>
        </w:rPr>
        <w:t>non-zero</w:t>
      </w:r>
      <w:r w:rsidR="00400220">
        <w:rPr>
          <w:lang w:val="en-US" w:eastAsia="zh-CN"/>
        </w:rPr>
        <w:t xml:space="preserve"> and </w:t>
      </w:r>
      <w:r w:rsidR="00C33561">
        <w:rPr>
          <w:lang w:val="en-US" w:eastAsia="zh-CN"/>
        </w:rPr>
        <w:t>non-equal</w:t>
      </w:r>
      <w:r w:rsidR="00400220">
        <w:rPr>
          <w:lang w:val="en-US" w:eastAsia="zh-CN"/>
        </w:rPr>
        <w:t xml:space="preserve"> TA, we firstly observe:</w:t>
      </w:r>
    </w:p>
    <w:p w14:paraId="674CFCAA" w14:textId="77777777" w:rsidR="004F1EFE" w:rsidRDefault="004F1EFE" w:rsidP="004F1EFE">
      <w:pPr>
        <w:rPr>
          <w:b/>
          <w:lang w:val="en-US" w:eastAsia="zh-CN"/>
        </w:rPr>
      </w:pPr>
      <w:r>
        <w:rPr>
          <w:b/>
          <w:lang w:val="en-US" w:eastAsia="zh-CN"/>
        </w:rPr>
        <w:t>Observation 1: Zero or equal TA RACHless handover is targeted to special scenarios and is not a general handover enhancement.</w:t>
      </w:r>
    </w:p>
    <w:p w14:paraId="0F85EDFD" w14:textId="77777777" w:rsidR="00400220" w:rsidRPr="00400220" w:rsidRDefault="00400220" w:rsidP="004F1EFE">
      <w:pPr>
        <w:rPr>
          <w:lang w:val="en-US" w:eastAsia="zh-CN"/>
        </w:rPr>
      </w:pPr>
      <w:r w:rsidRPr="00400220">
        <w:rPr>
          <w:lang w:val="en-US" w:eastAsia="zh-CN"/>
        </w:rPr>
        <w:t>B</w:t>
      </w:r>
      <w:r>
        <w:rPr>
          <w:lang w:val="en-US" w:eastAsia="zh-CN"/>
        </w:rPr>
        <w:t>ased on this observation we propose:</w:t>
      </w:r>
    </w:p>
    <w:p w14:paraId="2007A96D" w14:textId="77777777" w:rsidR="004F1EFE" w:rsidRDefault="004F1EFE" w:rsidP="004F1EFE">
      <w:pPr>
        <w:rPr>
          <w:b/>
          <w:lang w:val="en-US" w:eastAsia="zh-CN"/>
        </w:rPr>
      </w:pPr>
      <w:r>
        <w:rPr>
          <w:b/>
          <w:lang w:val="en-US" w:eastAsia="zh-CN"/>
        </w:rPr>
        <w:t>Proposal 1 : Both UE and network based schemes for TA setting are considered for RACHless handover.</w:t>
      </w:r>
    </w:p>
    <w:p w14:paraId="60FB7C02" w14:textId="77777777" w:rsidR="004F1EFE" w:rsidRPr="00595154" w:rsidRDefault="004F1EFE" w:rsidP="004F1EFE">
      <w:pPr>
        <w:rPr>
          <w:b/>
        </w:rPr>
      </w:pPr>
      <w:r>
        <w:rPr>
          <w:b/>
        </w:rPr>
        <w:lastRenderedPageBreak/>
        <w:t>Proposal 2: RACHless handover with UE calculated TA is further analysed as a solution for intrafrequency handover between cells with the same UL and DL SSB SCS</w:t>
      </w:r>
    </w:p>
    <w:p w14:paraId="2AD14885" w14:textId="52372B1F" w:rsidR="00400220" w:rsidRDefault="00400220" w:rsidP="00400220">
      <w:r w:rsidRPr="00400220">
        <w:t>F</w:t>
      </w:r>
      <w:r>
        <w:t>i</w:t>
      </w:r>
      <w:r w:rsidRPr="00400220">
        <w:t>nally</w:t>
      </w:r>
      <w:r>
        <w:t xml:space="preserve"> we discuss the feasibility of RACHless handover on FR2 related to the preallocation of resources for different TCI states. In our understanding, RAN2 is aware of this issue and relevant contributions have been submitted to RAN2 on the topic. In the end, there is a </w:t>
      </w:r>
      <w:r w:rsidR="00C33561">
        <w:t>trade-off</w:t>
      </w:r>
      <w:r>
        <w:t xml:space="preserve"> between the likelihood of the preallocated resources being suitable, and the number of resources that need to be preallocated for a UE which might not end up being used. RAN2 has not asked RAN4 for an opinion on this issue, and it is not necessary for RAN4 to discuss the issue to respond to an LS. Hence we propose</w:t>
      </w:r>
    </w:p>
    <w:p w14:paraId="39D7F075" w14:textId="77777777" w:rsidR="00400220" w:rsidRPr="00400220" w:rsidRDefault="00400220" w:rsidP="00400220"/>
    <w:p w14:paraId="2C307FB0" w14:textId="77777777" w:rsidR="00400220" w:rsidRPr="00400220" w:rsidRDefault="00400220" w:rsidP="00400220">
      <w:pPr>
        <w:rPr>
          <w:b/>
        </w:rPr>
      </w:pPr>
      <w:r>
        <w:rPr>
          <w:b/>
        </w:rPr>
        <w:t>Proposal 3: RAN4 does not need to discuss further the feasibility aspects of RACH-less handover in FR2 related to the preallocation of resources associated with different TCI states</w:t>
      </w:r>
    </w:p>
    <w:p w14:paraId="5B9F4BD7" w14:textId="77777777" w:rsidR="005813AA" w:rsidRDefault="005813AA" w:rsidP="005813AA">
      <w:pPr>
        <w:pStyle w:val="Heading1"/>
        <w:jc w:val="both"/>
        <w:rPr>
          <w:rFonts w:eastAsia="SimSun"/>
          <w:lang w:val="en-US" w:eastAsia="zh-CN"/>
        </w:rPr>
      </w:pPr>
      <w:r>
        <w:rPr>
          <w:rFonts w:eastAsia="SimSun"/>
          <w:lang w:val="en-US" w:eastAsia="zh-CN"/>
        </w:rPr>
        <w:t>References</w:t>
      </w:r>
    </w:p>
    <w:p w14:paraId="092D6D32" w14:textId="77777777" w:rsidR="006B6666" w:rsidRPr="006B6666" w:rsidRDefault="006B6666" w:rsidP="006B6666">
      <w:pPr>
        <w:rPr>
          <w:lang w:val="en-US" w:eastAsia="zh-CN"/>
        </w:rPr>
      </w:pPr>
    </w:p>
    <w:p w14:paraId="2EC2D4D5" w14:textId="77777777" w:rsidR="000D12D7" w:rsidRPr="007F68FE" w:rsidRDefault="000D12D7" w:rsidP="000D12D7">
      <w:pPr>
        <w:pStyle w:val="3GPPNormalText"/>
        <w:numPr>
          <w:ilvl w:val="0"/>
          <w:numId w:val="5"/>
        </w:numPr>
        <w:rPr>
          <w:rFonts w:eastAsia="SimSun"/>
          <w:lang w:eastAsia="zh-CN"/>
        </w:rPr>
      </w:pPr>
      <w:r w:rsidRPr="000D12D7">
        <w:rPr>
          <w:szCs w:val="20"/>
          <w:lang w:eastAsia="zh-CN"/>
        </w:rPr>
        <w:t>R4-1904827</w:t>
      </w:r>
      <w:r w:rsidRPr="000D12D7">
        <w:rPr>
          <w:szCs w:val="20"/>
          <w:lang w:eastAsia="zh-CN"/>
        </w:rPr>
        <w:tab/>
        <w:t>Way forward on NR mobility enhancement</w:t>
      </w:r>
      <w:r>
        <w:rPr>
          <w:szCs w:val="20"/>
          <w:lang w:eastAsia="zh-CN"/>
        </w:rPr>
        <w:t xml:space="preserve">, </w:t>
      </w:r>
      <w:r w:rsidRPr="000D12D7">
        <w:rPr>
          <w:szCs w:val="20"/>
          <w:lang w:eastAsia="zh-CN"/>
        </w:rPr>
        <w:t>Intel Corporation</w:t>
      </w:r>
    </w:p>
    <w:p w14:paraId="036BB5AA" w14:textId="0D5E690F" w:rsidR="007F68FE" w:rsidRDefault="007F68FE" w:rsidP="000D12D7">
      <w:pPr>
        <w:pStyle w:val="3GPPNormalText"/>
        <w:numPr>
          <w:ilvl w:val="0"/>
          <w:numId w:val="5"/>
        </w:numPr>
        <w:rPr>
          <w:rFonts w:eastAsia="SimSun"/>
          <w:lang w:eastAsia="zh-CN"/>
        </w:rPr>
      </w:pPr>
      <w:bookmarkStart w:id="2" w:name="_Ref11769249"/>
      <w:r w:rsidRPr="007F68FE">
        <w:rPr>
          <w:rFonts w:eastAsia="SimSun"/>
          <w:lang w:eastAsia="zh-CN"/>
        </w:rPr>
        <w:t>R4-1904826</w:t>
      </w:r>
      <w:r w:rsidRPr="007F68FE">
        <w:rPr>
          <w:rFonts w:eastAsia="SimSun"/>
          <w:lang w:eastAsia="zh-CN"/>
        </w:rPr>
        <w:tab/>
      </w:r>
      <w:r>
        <w:rPr>
          <w:rFonts w:eastAsia="SimSun"/>
          <w:lang w:eastAsia="zh-CN"/>
        </w:rPr>
        <w:t xml:space="preserve"> </w:t>
      </w:r>
      <w:r w:rsidRPr="007F68FE">
        <w:rPr>
          <w:rFonts w:eastAsia="SimSun"/>
          <w:lang w:eastAsia="zh-CN"/>
        </w:rPr>
        <w:t>Reply LS on NR mobility enhancement</w:t>
      </w:r>
      <w:r>
        <w:rPr>
          <w:rFonts w:eastAsia="SimSun"/>
          <w:lang w:eastAsia="zh-CN"/>
        </w:rPr>
        <w:t>, Intel</w:t>
      </w:r>
      <w:bookmarkEnd w:id="2"/>
      <w:r>
        <w:rPr>
          <w:rFonts w:eastAsia="SimSun"/>
          <w:lang w:eastAsia="zh-CN"/>
        </w:rPr>
        <w:t xml:space="preserve"> </w:t>
      </w:r>
    </w:p>
    <w:p w14:paraId="79F11E37" w14:textId="029DB586" w:rsidR="0016689F" w:rsidRPr="000D12D7" w:rsidRDefault="0016689F" w:rsidP="000D12D7">
      <w:pPr>
        <w:pStyle w:val="3GPPNormalText"/>
        <w:numPr>
          <w:ilvl w:val="0"/>
          <w:numId w:val="5"/>
        </w:numPr>
        <w:rPr>
          <w:rFonts w:eastAsia="SimSun"/>
          <w:lang w:eastAsia="zh-CN"/>
        </w:rPr>
      </w:pPr>
      <w:bookmarkStart w:id="3" w:name="_Ref16761238"/>
      <w:r w:rsidRPr="0016689F">
        <w:rPr>
          <w:rFonts w:eastAsia="SimSun"/>
          <w:lang w:eastAsia="zh-CN"/>
        </w:rPr>
        <w:t>R4-1906965</w:t>
      </w:r>
      <w:r>
        <w:rPr>
          <w:rFonts w:eastAsia="SimSun"/>
          <w:lang w:eastAsia="zh-CN"/>
        </w:rPr>
        <w:t xml:space="preserve"> “On RACH-less HO in NR”, Qualcomm Incorporated</w:t>
      </w:r>
      <w:bookmarkEnd w:id="3"/>
    </w:p>
    <w:p w14:paraId="5624FCC5" w14:textId="77777777" w:rsidR="00BC3922" w:rsidRPr="00C904B5" w:rsidRDefault="00BC3922" w:rsidP="00BC3922">
      <w:pPr>
        <w:pStyle w:val="3GPPNormalText"/>
        <w:ind w:firstLine="0"/>
        <w:rPr>
          <w:szCs w:val="20"/>
          <w:lang w:eastAsia="zh-CN"/>
        </w:rPr>
      </w:pPr>
    </w:p>
    <w:sectPr w:rsidR="00BC3922" w:rsidRPr="00C904B5" w:rsidSect="00034006">
      <w:footerReference w:type="even" r:id="rId18"/>
      <w:footerReference w:type="default" r:id="rId19"/>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115F9" w14:textId="77777777" w:rsidR="00D204F5" w:rsidRDefault="00D204F5">
      <w:r>
        <w:separator/>
      </w:r>
    </w:p>
  </w:endnote>
  <w:endnote w:type="continuationSeparator" w:id="0">
    <w:p w14:paraId="65D476EC" w14:textId="77777777" w:rsidR="00D204F5" w:rsidRDefault="00D2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08095"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2B19EC2" w14:textId="77777777" w:rsidR="009A0503" w:rsidRDefault="009A0503">
    <w:pPr>
      <w:pStyle w:val="Footer"/>
    </w:pPr>
  </w:p>
  <w:p w14:paraId="13244F06" w14:textId="77777777" w:rsidR="009A0503" w:rsidRDefault="009A0503"/>
  <w:p w14:paraId="72F844C9" w14:textId="77777777"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75656"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517F576" w14:textId="77777777" w:rsidR="009A0503" w:rsidRDefault="009A0503">
    <w:pPr>
      <w:pStyle w:val="Footer"/>
      <w:ind w:right="360"/>
    </w:pPr>
  </w:p>
  <w:p w14:paraId="43309000" w14:textId="77777777" w:rsidR="009A0503" w:rsidRDefault="009A0503"/>
  <w:p w14:paraId="39112B90" w14:textId="77777777"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1B015" w14:textId="77777777" w:rsidR="00D204F5" w:rsidRDefault="00D204F5">
      <w:r>
        <w:separator/>
      </w:r>
    </w:p>
  </w:footnote>
  <w:footnote w:type="continuationSeparator" w:id="0">
    <w:p w14:paraId="6BE6EF3E" w14:textId="77777777" w:rsidR="00D204F5" w:rsidRDefault="00D20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4008"/>
    <w:multiLevelType w:val="hybridMultilevel"/>
    <w:tmpl w:val="65F043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8B37CE"/>
    <w:multiLevelType w:val="hybridMultilevel"/>
    <w:tmpl w:val="0CC2A89E"/>
    <w:lvl w:ilvl="0" w:tplc="4C8AA3EE">
      <w:start w:val="1"/>
      <w:numFmt w:val="bullet"/>
      <w:lvlText w:val=""/>
      <w:lvlJc w:val="left"/>
      <w:pPr>
        <w:tabs>
          <w:tab w:val="num" w:pos="720"/>
        </w:tabs>
        <w:ind w:left="720" w:hanging="360"/>
      </w:pPr>
      <w:rPr>
        <w:rFonts w:ascii="Wingdings" w:hAnsi="Wingdings" w:hint="default"/>
      </w:rPr>
    </w:lvl>
    <w:lvl w:ilvl="1" w:tplc="4EF43CE6" w:tentative="1">
      <w:start w:val="1"/>
      <w:numFmt w:val="bullet"/>
      <w:lvlText w:val=""/>
      <w:lvlJc w:val="left"/>
      <w:pPr>
        <w:tabs>
          <w:tab w:val="num" w:pos="1440"/>
        </w:tabs>
        <w:ind w:left="1440" w:hanging="360"/>
      </w:pPr>
      <w:rPr>
        <w:rFonts w:ascii="Wingdings" w:hAnsi="Wingdings" w:hint="default"/>
      </w:rPr>
    </w:lvl>
    <w:lvl w:ilvl="2" w:tplc="B9880E0A" w:tentative="1">
      <w:start w:val="1"/>
      <w:numFmt w:val="bullet"/>
      <w:lvlText w:val=""/>
      <w:lvlJc w:val="left"/>
      <w:pPr>
        <w:tabs>
          <w:tab w:val="num" w:pos="2160"/>
        </w:tabs>
        <w:ind w:left="2160" w:hanging="360"/>
      </w:pPr>
      <w:rPr>
        <w:rFonts w:ascii="Wingdings" w:hAnsi="Wingdings" w:hint="default"/>
      </w:rPr>
    </w:lvl>
    <w:lvl w:ilvl="3" w:tplc="EA7C5EB4" w:tentative="1">
      <w:start w:val="1"/>
      <w:numFmt w:val="bullet"/>
      <w:lvlText w:val=""/>
      <w:lvlJc w:val="left"/>
      <w:pPr>
        <w:tabs>
          <w:tab w:val="num" w:pos="2880"/>
        </w:tabs>
        <w:ind w:left="2880" w:hanging="360"/>
      </w:pPr>
      <w:rPr>
        <w:rFonts w:ascii="Wingdings" w:hAnsi="Wingdings" w:hint="default"/>
      </w:rPr>
    </w:lvl>
    <w:lvl w:ilvl="4" w:tplc="814A7576" w:tentative="1">
      <w:start w:val="1"/>
      <w:numFmt w:val="bullet"/>
      <w:lvlText w:val=""/>
      <w:lvlJc w:val="left"/>
      <w:pPr>
        <w:tabs>
          <w:tab w:val="num" w:pos="3600"/>
        </w:tabs>
        <w:ind w:left="3600" w:hanging="360"/>
      </w:pPr>
      <w:rPr>
        <w:rFonts w:ascii="Wingdings" w:hAnsi="Wingdings" w:hint="default"/>
      </w:rPr>
    </w:lvl>
    <w:lvl w:ilvl="5" w:tplc="8B3037D8" w:tentative="1">
      <w:start w:val="1"/>
      <w:numFmt w:val="bullet"/>
      <w:lvlText w:val=""/>
      <w:lvlJc w:val="left"/>
      <w:pPr>
        <w:tabs>
          <w:tab w:val="num" w:pos="4320"/>
        </w:tabs>
        <w:ind w:left="4320" w:hanging="360"/>
      </w:pPr>
      <w:rPr>
        <w:rFonts w:ascii="Wingdings" w:hAnsi="Wingdings" w:hint="default"/>
      </w:rPr>
    </w:lvl>
    <w:lvl w:ilvl="6" w:tplc="ADA6591C" w:tentative="1">
      <w:start w:val="1"/>
      <w:numFmt w:val="bullet"/>
      <w:lvlText w:val=""/>
      <w:lvlJc w:val="left"/>
      <w:pPr>
        <w:tabs>
          <w:tab w:val="num" w:pos="5040"/>
        </w:tabs>
        <w:ind w:left="5040" w:hanging="360"/>
      </w:pPr>
      <w:rPr>
        <w:rFonts w:ascii="Wingdings" w:hAnsi="Wingdings" w:hint="default"/>
      </w:rPr>
    </w:lvl>
    <w:lvl w:ilvl="7" w:tplc="15BADF6E" w:tentative="1">
      <w:start w:val="1"/>
      <w:numFmt w:val="bullet"/>
      <w:lvlText w:val=""/>
      <w:lvlJc w:val="left"/>
      <w:pPr>
        <w:tabs>
          <w:tab w:val="num" w:pos="5760"/>
        </w:tabs>
        <w:ind w:left="5760" w:hanging="360"/>
      </w:pPr>
      <w:rPr>
        <w:rFonts w:ascii="Wingdings" w:hAnsi="Wingdings" w:hint="default"/>
      </w:rPr>
    </w:lvl>
    <w:lvl w:ilvl="8" w:tplc="398C0B8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B33736"/>
    <w:multiLevelType w:val="hybridMultilevel"/>
    <w:tmpl w:val="BAD28B82"/>
    <w:lvl w:ilvl="0" w:tplc="6E542DE0">
      <w:start w:val="1"/>
      <w:numFmt w:val="bullet"/>
      <w:lvlText w:val="•"/>
      <w:lvlJc w:val="left"/>
      <w:pPr>
        <w:tabs>
          <w:tab w:val="num" w:pos="720"/>
        </w:tabs>
        <w:ind w:left="720" w:hanging="360"/>
      </w:pPr>
      <w:rPr>
        <w:rFonts w:ascii="Arial" w:hAnsi="Arial" w:hint="default"/>
      </w:rPr>
    </w:lvl>
    <w:lvl w:ilvl="1" w:tplc="43162750" w:tentative="1">
      <w:start w:val="1"/>
      <w:numFmt w:val="bullet"/>
      <w:lvlText w:val="•"/>
      <w:lvlJc w:val="left"/>
      <w:pPr>
        <w:tabs>
          <w:tab w:val="num" w:pos="1440"/>
        </w:tabs>
        <w:ind w:left="1440" w:hanging="360"/>
      </w:pPr>
      <w:rPr>
        <w:rFonts w:ascii="Arial" w:hAnsi="Arial" w:hint="default"/>
      </w:rPr>
    </w:lvl>
    <w:lvl w:ilvl="2" w:tplc="6D0CD410" w:tentative="1">
      <w:start w:val="1"/>
      <w:numFmt w:val="bullet"/>
      <w:lvlText w:val="•"/>
      <w:lvlJc w:val="left"/>
      <w:pPr>
        <w:tabs>
          <w:tab w:val="num" w:pos="2160"/>
        </w:tabs>
        <w:ind w:left="2160" w:hanging="360"/>
      </w:pPr>
      <w:rPr>
        <w:rFonts w:ascii="Arial" w:hAnsi="Arial" w:hint="default"/>
      </w:rPr>
    </w:lvl>
    <w:lvl w:ilvl="3" w:tplc="183C3466" w:tentative="1">
      <w:start w:val="1"/>
      <w:numFmt w:val="bullet"/>
      <w:lvlText w:val="•"/>
      <w:lvlJc w:val="left"/>
      <w:pPr>
        <w:tabs>
          <w:tab w:val="num" w:pos="2880"/>
        </w:tabs>
        <w:ind w:left="2880" w:hanging="360"/>
      </w:pPr>
      <w:rPr>
        <w:rFonts w:ascii="Arial" w:hAnsi="Arial" w:hint="default"/>
      </w:rPr>
    </w:lvl>
    <w:lvl w:ilvl="4" w:tplc="AA589376" w:tentative="1">
      <w:start w:val="1"/>
      <w:numFmt w:val="bullet"/>
      <w:lvlText w:val="•"/>
      <w:lvlJc w:val="left"/>
      <w:pPr>
        <w:tabs>
          <w:tab w:val="num" w:pos="3600"/>
        </w:tabs>
        <w:ind w:left="3600" w:hanging="360"/>
      </w:pPr>
      <w:rPr>
        <w:rFonts w:ascii="Arial" w:hAnsi="Arial" w:hint="default"/>
      </w:rPr>
    </w:lvl>
    <w:lvl w:ilvl="5" w:tplc="7FF44C74" w:tentative="1">
      <w:start w:val="1"/>
      <w:numFmt w:val="bullet"/>
      <w:lvlText w:val="•"/>
      <w:lvlJc w:val="left"/>
      <w:pPr>
        <w:tabs>
          <w:tab w:val="num" w:pos="4320"/>
        </w:tabs>
        <w:ind w:left="4320" w:hanging="360"/>
      </w:pPr>
      <w:rPr>
        <w:rFonts w:ascii="Arial" w:hAnsi="Arial" w:hint="default"/>
      </w:rPr>
    </w:lvl>
    <w:lvl w:ilvl="6" w:tplc="8A1E189C" w:tentative="1">
      <w:start w:val="1"/>
      <w:numFmt w:val="bullet"/>
      <w:lvlText w:val="•"/>
      <w:lvlJc w:val="left"/>
      <w:pPr>
        <w:tabs>
          <w:tab w:val="num" w:pos="5040"/>
        </w:tabs>
        <w:ind w:left="5040" w:hanging="360"/>
      </w:pPr>
      <w:rPr>
        <w:rFonts w:ascii="Arial" w:hAnsi="Arial" w:hint="default"/>
      </w:rPr>
    </w:lvl>
    <w:lvl w:ilvl="7" w:tplc="61AC921C" w:tentative="1">
      <w:start w:val="1"/>
      <w:numFmt w:val="bullet"/>
      <w:lvlText w:val="•"/>
      <w:lvlJc w:val="left"/>
      <w:pPr>
        <w:tabs>
          <w:tab w:val="num" w:pos="5760"/>
        </w:tabs>
        <w:ind w:left="5760" w:hanging="360"/>
      </w:pPr>
      <w:rPr>
        <w:rFonts w:ascii="Arial" w:hAnsi="Arial" w:hint="default"/>
      </w:rPr>
    </w:lvl>
    <w:lvl w:ilvl="8" w:tplc="E0A49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76A13"/>
    <w:multiLevelType w:val="hybridMultilevel"/>
    <w:tmpl w:val="BEB24B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695C1B"/>
    <w:multiLevelType w:val="hybridMultilevel"/>
    <w:tmpl w:val="71A65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6B05D6E"/>
    <w:multiLevelType w:val="hybridMultilevel"/>
    <w:tmpl w:val="33B8766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377EF"/>
    <w:multiLevelType w:val="hybridMultilevel"/>
    <w:tmpl w:val="B51EAF72"/>
    <w:lvl w:ilvl="0" w:tplc="4268F59C">
      <w:start w:val="1"/>
      <w:numFmt w:val="bullet"/>
      <w:lvlText w:val=""/>
      <w:lvlJc w:val="left"/>
      <w:pPr>
        <w:tabs>
          <w:tab w:val="num" w:pos="720"/>
        </w:tabs>
        <w:ind w:left="720" w:hanging="360"/>
      </w:pPr>
      <w:rPr>
        <w:rFonts w:ascii="Wingdings" w:hAnsi="Wingdings" w:hint="default"/>
      </w:rPr>
    </w:lvl>
    <w:lvl w:ilvl="1" w:tplc="EB3C231E">
      <w:numFmt w:val="bullet"/>
      <w:lvlText w:val=""/>
      <w:lvlJc w:val="left"/>
      <w:pPr>
        <w:tabs>
          <w:tab w:val="num" w:pos="1440"/>
        </w:tabs>
        <w:ind w:left="1440" w:hanging="360"/>
      </w:pPr>
      <w:rPr>
        <w:rFonts w:ascii="Wingdings" w:hAnsi="Wingdings" w:hint="default"/>
      </w:rPr>
    </w:lvl>
    <w:lvl w:ilvl="2" w:tplc="8D6A9D64" w:tentative="1">
      <w:start w:val="1"/>
      <w:numFmt w:val="bullet"/>
      <w:lvlText w:val=""/>
      <w:lvlJc w:val="left"/>
      <w:pPr>
        <w:tabs>
          <w:tab w:val="num" w:pos="2160"/>
        </w:tabs>
        <w:ind w:left="2160" w:hanging="360"/>
      </w:pPr>
      <w:rPr>
        <w:rFonts w:ascii="Wingdings" w:hAnsi="Wingdings" w:hint="default"/>
      </w:rPr>
    </w:lvl>
    <w:lvl w:ilvl="3" w:tplc="A12814F8" w:tentative="1">
      <w:start w:val="1"/>
      <w:numFmt w:val="bullet"/>
      <w:lvlText w:val=""/>
      <w:lvlJc w:val="left"/>
      <w:pPr>
        <w:tabs>
          <w:tab w:val="num" w:pos="2880"/>
        </w:tabs>
        <w:ind w:left="2880" w:hanging="360"/>
      </w:pPr>
      <w:rPr>
        <w:rFonts w:ascii="Wingdings" w:hAnsi="Wingdings" w:hint="default"/>
      </w:rPr>
    </w:lvl>
    <w:lvl w:ilvl="4" w:tplc="C630D764" w:tentative="1">
      <w:start w:val="1"/>
      <w:numFmt w:val="bullet"/>
      <w:lvlText w:val=""/>
      <w:lvlJc w:val="left"/>
      <w:pPr>
        <w:tabs>
          <w:tab w:val="num" w:pos="3600"/>
        </w:tabs>
        <w:ind w:left="3600" w:hanging="360"/>
      </w:pPr>
      <w:rPr>
        <w:rFonts w:ascii="Wingdings" w:hAnsi="Wingdings" w:hint="default"/>
      </w:rPr>
    </w:lvl>
    <w:lvl w:ilvl="5" w:tplc="9168C108" w:tentative="1">
      <w:start w:val="1"/>
      <w:numFmt w:val="bullet"/>
      <w:lvlText w:val=""/>
      <w:lvlJc w:val="left"/>
      <w:pPr>
        <w:tabs>
          <w:tab w:val="num" w:pos="4320"/>
        </w:tabs>
        <w:ind w:left="4320" w:hanging="360"/>
      </w:pPr>
      <w:rPr>
        <w:rFonts w:ascii="Wingdings" w:hAnsi="Wingdings" w:hint="default"/>
      </w:rPr>
    </w:lvl>
    <w:lvl w:ilvl="6" w:tplc="C7963A90" w:tentative="1">
      <w:start w:val="1"/>
      <w:numFmt w:val="bullet"/>
      <w:lvlText w:val=""/>
      <w:lvlJc w:val="left"/>
      <w:pPr>
        <w:tabs>
          <w:tab w:val="num" w:pos="5040"/>
        </w:tabs>
        <w:ind w:left="5040" w:hanging="360"/>
      </w:pPr>
      <w:rPr>
        <w:rFonts w:ascii="Wingdings" w:hAnsi="Wingdings" w:hint="default"/>
      </w:rPr>
    </w:lvl>
    <w:lvl w:ilvl="7" w:tplc="2E3E49CA" w:tentative="1">
      <w:start w:val="1"/>
      <w:numFmt w:val="bullet"/>
      <w:lvlText w:val=""/>
      <w:lvlJc w:val="left"/>
      <w:pPr>
        <w:tabs>
          <w:tab w:val="num" w:pos="5760"/>
        </w:tabs>
        <w:ind w:left="5760" w:hanging="360"/>
      </w:pPr>
      <w:rPr>
        <w:rFonts w:ascii="Wingdings" w:hAnsi="Wingdings" w:hint="default"/>
      </w:rPr>
    </w:lvl>
    <w:lvl w:ilvl="8" w:tplc="38A09A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0"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39588F"/>
    <w:multiLevelType w:val="hybridMultilevel"/>
    <w:tmpl w:val="73E4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74D1DB5"/>
    <w:multiLevelType w:val="hybridMultilevel"/>
    <w:tmpl w:val="D98ED55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2"/>
  </w:num>
  <w:num w:numId="2">
    <w:abstractNumId w:val="39"/>
  </w:num>
  <w:num w:numId="3">
    <w:abstractNumId w:val="42"/>
  </w:num>
  <w:num w:numId="4">
    <w:abstractNumId w:val="14"/>
  </w:num>
  <w:num w:numId="5">
    <w:abstractNumId w:val="19"/>
  </w:num>
  <w:num w:numId="6">
    <w:abstractNumId w:val="34"/>
  </w:num>
  <w:num w:numId="7">
    <w:abstractNumId w:val="15"/>
  </w:num>
  <w:num w:numId="8">
    <w:abstractNumId w:val="28"/>
  </w:num>
  <w:num w:numId="9">
    <w:abstractNumId w:val="20"/>
  </w:num>
  <w:num w:numId="10">
    <w:abstractNumId w:val="21"/>
  </w:num>
  <w:num w:numId="11">
    <w:abstractNumId w:val="9"/>
  </w:num>
  <w:num w:numId="12">
    <w:abstractNumId w:val="25"/>
  </w:num>
  <w:num w:numId="13">
    <w:abstractNumId w:val="1"/>
  </w:num>
  <w:num w:numId="14">
    <w:abstractNumId w:val="2"/>
  </w:num>
  <w:num w:numId="15">
    <w:abstractNumId w:val="41"/>
  </w:num>
  <w:num w:numId="16">
    <w:abstractNumId w:val="26"/>
  </w:num>
  <w:num w:numId="17">
    <w:abstractNumId w:val="27"/>
  </w:num>
  <w:num w:numId="18">
    <w:abstractNumId w:val="13"/>
  </w:num>
  <w:num w:numId="19">
    <w:abstractNumId w:val="30"/>
  </w:num>
  <w:num w:numId="20">
    <w:abstractNumId w:val="32"/>
  </w:num>
  <w:num w:numId="21">
    <w:abstractNumId w:val="8"/>
  </w:num>
  <w:num w:numId="22">
    <w:abstractNumId w:val="37"/>
  </w:num>
  <w:num w:numId="23">
    <w:abstractNumId w:val="4"/>
  </w:num>
  <w:num w:numId="24">
    <w:abstractNumId w:val="29"/>
  </w:num>
  <w:num w:numId="25">
    <w:abstractNumId w:val="12"/>
  </w:num>
  <w:num w:numId="26">
    <w:abstractNumId w:val="31"/>
  </w:num>
  <w:num w:numId="27">
    <w:abstractNumId w:val="23"/>
  </w:num>
  <w:num w:numId="28">
    <w:abstractNumId w:val="24"/>
  </w:num>
  <w:num w:numId="29">
    <w:abstractNumId w:val="38"/>
  </w:num>
  <w:num w:numId="30">
    <w:abstractNumId w:val="33"/>
  </w:num>
  <w:num w:numId="31">
    <w:abstractNumId w:val="36"/>
  </w:num>
  <w:num w:numId="32">
    <w:abstractNumId w:val="16"/>
  </w:num>
  <w:num w:numId="33">
    <w:abstractNumId w:val="17"/>
  </w:num>
  <w:num w:numId="34">
    <w:abstractNumId w:val="18"/>
  </w:num>
  <w:num w:numId="35">
    <w:abstractNumId w:val="10"/>
  </w:num>
  <w:num w:numId="36">
    <w:abstractNumId w:val="3"/>
  </w:num>
  <w:num w:numId="37">
    <w:abstractNumId w:val="5"/>
  </w:num>
  <w:num w:numId="38">
    <w:abstractNumId w:val="11"/>
  </w:num>
  <w:num w:numId="39">
    <w:abstractNumId w:val="40"/>
  </w:num>
  <w:num w:numId="40">
    <w:abstractNumId w:val="35"/>
  </w:num>
  <w:num w:numId="41">
    <w:abstractNumId w:val="7"/>
  </w:num>
  <w:num w:numId="42">
    <w:abstractNumId w:val="6"/>
  </w:num>
  <w:num w:numId="43">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ED4"/>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A15"/>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24E"/>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2D7"/>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04D"/>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89F"/>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A28"/>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3F6"/>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C37"/>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2CDE"/>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B7E73"/>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220"/>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30A"/>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5FC7"/>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1EFE"/>
    <w:rsid w:val="004F26FA"/>
    <w:rsid w:val="004F2825"/>
    <w:rsid w:val="004F37F0"/>
    <w:rsid w:val="004F3D48"/>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1F3"/>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067"/>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151"/>
    <w:rsid w:val="0059286F"/>
    <w:rsid w:val="0059290C"/>
    <w:rsid w:val="0059365B"/>
    <w:rsid w:val="0059391C"/>
    <w:rsid w:val="00593F10"/>
    <w:rsid w:val="005942D5"/>
    <w:rsid w:val="0059466A"/>
    <w:rsid w:val="0059467B"/>
    <w:rsid w:val="0059469B"/>
    <w:rsid w:val="00594752"/>
    <w:rsid w:val="00595154"/>
    <w:rsid w:val="00595777"/>
    <w:rsid w:val="00595B95"/>
    <w:rsid w:val="00595F68"/>
    <w:rsid w:val="005961C9"/>
    <w:rsid w:val="005967D7"/>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8C1"/>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642"/>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B73"/>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021"/>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76"/>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AB0"/>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421"/>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8FE"/>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9D7"/>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5BF"/>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2FBC"/>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152"/>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49"/>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135"/>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67F"/>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D32"/>
    <w:rsid w:val="00A43F03"/>
    <w:rsid w:val="00A43F07"/>
    <w:rsid w:val="00A4431D"/>
    <w:rsid w:val="00A44865"/>
    <w:rsid w:val="00A44963"/>
    <w:rsid w:val="00A44B83"/>
    <w:rsid w:val="00A44C19"/>
    <w:rsid w:val="00A44EE0"/>
    <w:rsid w:val="00A45030"/>
    <w:rsid w:val="00A453C0"/>
    <w:rsid w:val="00A45EBD"/>
    <w:rsid w:val="00A462AE"/>
    <w:rsid w:val="00A466A2"/>
    <w:rsid w:val="00A4670C"/>
    <w:rsid w:val="00A4718F"/>
    <w:rsid w:val="00A471D7"/>
    <w:rsid w:val="00A4724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98"/>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7C6"/>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C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05F"/>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9F7"/>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561"/>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D9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29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4F5"/>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92"/>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1E31"/>
    <w:rsid w:val="00DC2307"/>
    <w:rsid w:val="00DC2899"/>
    <w:rsid w:val="00DC2FD5"/>
    <w:rsid w:val="00DC346E"/>
    <w:rsid w:val="00DC3501"/>
    <w:rsid w:val="00DC3A0F"/>
    <w:rsid w:val="00DC3A2B"/>
    <w:rsid w:val="00DC4117"/>
    <w:rsid w:val="00DC4579"/>
    <w:rsid w:val="00DC4D9D"/>
    <w:rsid w:val="00DC53B6"/>
    <w:rsid w:val="00DC5754"/>
    <w:rsid w:val="00DC5B73"/>
    <w:rsid w:val="00DC5CE1"/>
    <w:rsid w:val="00DC6438"/>
    <w:rsid w:val="00DC663F"/>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9F"/>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AC"/>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864"/>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8C"/>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9D4"/>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770"/>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2978"/>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AF47E8"/>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808">
      <w:bodyDiv w:val="1"/>
      <w:marLeft w:val="0"/>
      <w:marRight w:val="0"/>
      <w:marTop w:val="0"/>
      <w:marBottom w:val="0"/>
      <w:divBdr>
        <w:top w:val="none" w:sz="0" w:space="0" w:color="auto"/>
        <w:left w:val="none" w:sz="0" w:space="0" w:color="auto"/>
        <w:bottom w:val="none" w:sz="0" w:space="0" w:color="auto"/>
        <w:right w:val="none" w:sz="0" w:space="0" w:color="auto"/>
      </w:divBdr>
    </w:div>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2729161">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75311304">
      <w:bodyDiv w:val="1"/>
      <w:marLeft w:val="0"/>
      <w:marRight w:val="0"/>
      <w:marTop w:val="0"/>
      <w:marBottom w:val="0"/>
      <w:divBdr>
        <w:top w:val="none" w:sz="0" w:space="0" w:color="auto"/>
        <w:left w:val="none" w:sz="0" w:space="0" w:color="auto"/>
        <w:bottom w:val="none" w:sz="0" w:space="0" w:color="auto"/>
        <w:right w:val="none" w:sz="0" w:space="0" w:color="auto"/>
      </w:divBdr>
      <w:divsChild>
        <w:div w:id="293760523">
          <w:marLeft w:val="446"/>
          <w:marRight w:val="0"/>
          <w:marTop w:val="0"/>
          <w:marBottom w:val="0"/>
          <w:divBdr>
            <w:top w:val="none" w:sz="0" w:space="0" w:color="auto"/>
            <w:left w:val="none" w:sz="0" w:space="0" w:color="auto"/>
            <w:bottom w:val="none" w:sz="0" w:space="0" w:color="auto"/>
            <w:right w:val="none" w:sz="0" w:space="0" w:color="auto"/>
          </w:divBdr>
        </w:div>
        <w:div w:id="1322730104">
          <w:marLeft w:val="547"/>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0917014">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835236">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799775">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2778390">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994579">
      <w:bodyDiv w:val="1"/>
      <w:marLeft w:val="0"/>
      <w:marRight w:val="0"/>
      <w:marTop w:val="0"/>
      <w:marBottom w:val="0"/>
      <w:divBdr>
        <w:top w:val="none" w:sz="0" w:space="0" w:color="auto"/>
        <w:left w:val="none" w:sz="0" w:space="0" w:color="auto"/>
        <w:bottom w:val="none" w:sz="0" w:space="0" w:color="auto"/>
        <w:right w:val="none" w:sz="0" w:space="0" w:color="auto"/>
      </w:divBdr>
      <w:divsChild>
        <w:div w:id="260531874">
          <w:marLeft w:val="446"/>
          <w:marRight w:val="0"/>
          <w:marTop w:val="0"/>
          <w:marBottom w:val="0"/>
          <w:divBdr>
            <w:top w:val="none" w:sz="0" w:space="0" w:color="auto"/>
            <w:left w:val="none" w:sz="0" w:space="0" w:color="auto"/>
            <w:bottom w:val="none" w:sz="0" w:space="0" w:color="auto"/>
            <w:right w:val="none" w:sz="0" w:space="0" w:color="auto"/>
          </w:divBdr>
        </w:div>
        <w:div w:id="1606960601">
          <w:marLeft w:val="547"/>
          <w:marRight w:val="0"/>
          <w:marTop w:val="0"/>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357988">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43758134">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608540">
      <w:bodyDiv w:val="1"/>
      <w:marLeft w:val="0"/>
      <w:marRight w:val="0"/>
      <w:marTop w:val="0"/>
      <w:marBottom w:val="0"/>
      <w:divBdr>
        <w:top w:val="none" w:sz="0" w:space="0" w:color="auto"/>
        <w:left w:val="none" w:sz="0" w:space="0" w:color="auto"/>
        <w:bottom w:val="none" w:sz="0" w:space="0" w:color="auto"/>
        <w:right w:val="none" w:sz="0" w:space="0" w:color="auto"/>
      </w:divBdr>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22871443">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153171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6034624">
      <w:bodyDiv w:val="1"/>
      <w:marLeft w:val="0"/>
      <w:marRight w:val="0"/>
      <w:marTop w:val="0"/>
      <w:marBottom w:val="0"/>
      <w:divBdr>
        <w:top w:val="none" w:sz="0" w:space="0" w:color="auto"/>
        <w:left w:val="none" w:sz="0" w:space="0" w:color="auto"/>
        <w:bottom w:val="none" w:sz="0" w:space="0" w:color="auto"/>
        <w:right w:val="none" w:sz="0" w:space="0" w:color="auto"/>
      </w:divBdr>
    </w:div>
    <w:div w:id="1612935435">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0491930">
      <w:bodyDiv w:val="1"/>
      <w:marLeft w:val="0"/>
      <w:marRight w:val="0"/>
      <w:marTop w:val="0"/>
      <w:marBottom w:val="0"/>
      <w:divBdr>
        <w:top w:val="none" w:sz="0" w:space="0" w:color="auto"/>
        <w:left w:val="none" w:sz="0" w:space="0" w:color="auto"/>
        <w:bottom w:val="none" w:sz="0" w:space="0" w:color="auto"/>
        <w:right w:val="none" w:sz="0" w:space="0" w:color="auto"/>
      </w:divBdr>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2300245">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3828221">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2388700">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762060">
      <w:bodyDiv w:val="1"/>
      <w:marLeft w:val="0"/>
      <w:marRight w:val="0"/>
      <w:marTop w:val="0"/>
      <w:marBottom w:val="0"/>
      <w:divBdr>
        <w:top w:val="none" w:sz="0" w:space="0" w:color="auto"/>
        <w:left w:val="none" w:sz="0" w:space="0" w:color="auto"/>
        <w:bottom w:val="none" w:sz="0" w:space="0" w:color="auto"/>
        <w:right w:val="none" w:sz="0" w:space="0" w:color="auto"/>
      </w:divBdr>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59352355">
      <w:bodyDiv w:val="1"/>
      <w:marLeft w:val="0"/>
      <w:marRight w:val="0"/>
      <w:marTop w:val="0"/>
      <w:marBottom w:val="0"/>
      <w:divBdr>
        <w:top w:val="none" w:sz="0" w:space="0" w:color="auto"/>
        <w:left w:val="none" w:sz="0" w:space="0" w:color="auto"/>
        <w:bottom w:val="none" w:sz="0" w:space="0" w:color="auto"/>
        <w:right w:val="none" w:sz="0" w:space="0" w:color="auto"/>
      </w:divBdr>
      <w:divsChild>
        <w:div w:id="786852844">
          <w:marLeft w:val="446"/>
          <w:marRight w:val="0"/>
          <w:marTop w:val="0"/>
          <w:marBottom w:val="0"/>
          <w:divBdr>
            <w:top w:val="none" w:sz="0" w:space="0" w:color="auto"/>
            <w:left w:val="none" w:sz="0" w:space="0" w:color="auto"/>
            <w:bottom w:val="none" w:sz="0" w:space="0" w:color="auto"/>
            <w:right w:val="none" w:sz="0" w:space="0" w:color="auto"/>
          </w:divBdr>
        </w:div>
        <w:div w:id="556284403">
          <w:marLeft w:val="1166"/>
          <w:marRight w:val="0"/>
          <w:marTop w:val="0"/>
          <w:marBottom w:val="0"/>
          <w:divBdr>
            <w:top w:val="none" w:sz="0" w:space="0" w:color="auto"/>
            <w:left w:val="none" w:sz="0" w:space="0" w:color="auto"/>
            <w:bottom w:val="none" w:sz="0" w:space="0" w:color="auto"/>
            <w:right w:val="none" w:sz="0" w:space="0" w:color="auto"/>
          </w:divBdr>
        </w:div>
        <w:div w:id="446313209">
          <w:marLeft w:val="1166"/>
          <w:marRight w:val="0"/>
          <w:marTop w:val="0"/>
          <w:marBottom w:val="0"/>
          <w:divBdr>
            <w:top w:val="none" w:sz="0" w:space="0" w:color="auto"/>
            <w:left w:val="none" w:sz="0" w:space="0" w:color="auto"/>
            <w:bottom w:val="none" w:sz="0" w:space="0" w:color="auto"/>
            <w:right w:val="none" w:sz="0" w:space="0" w:color="auto"/>
          </w:divBdr>
        </w:div>
        <w:div w:id="708261887">
          <w:marLeft w:val="1166"/>
          <w:marRight w:val="0"/>
          <w:marTop w:val="0"/>
          <w:marBottom w:val="0"/>
          <w:divBdr>
            <w:top w:val="none" w:sz="0" w:space="0" w:color="auto"/>
            <w:left w:val="none" w:sz="0" w:space="0" w:color="auto"/>
            <w:bottom w:val="none" w:sz="0" w:space="0" w:color="auto"/>
            <w:right w:val="none" w:sz="0" w:space="0" w:color="auto"/>
          </w:divBdr>
        </w:div>
        <w:div w:id="304704130">
          <w:marLeft w:val="446"/>
          <w:marRight w:val="0"/>
          <w:marTop w:val="0"/>
          <w:marBottom w:val="0"/>
          <w:divBdr>
            <w:top w:val="none" w:sz="0" w:space="0" w:color="auto"/>
            <w:left w:val="none" w:sz="0" w:space="0" w:color="auto"/>
            <w:bottom w:val="none" w:sz="0" w:space="0" w:color="auto"/>
            <w:right w:val="none" w:sz="0" w:space="0" w:color="auto"/>
          </w:divBdr>
        </w:div>
        <w:div w:id="1513258166">
          <w:marLeft w:val="446"/>
          <w:marRight w:val="0"/>
          <w:marTop w:val="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87340438">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s\R4-190482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9493A8C-C534-45E9-90D4-CA2575F6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3118</Words>
  <Characters>17776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2019-08-15T10:44:00Z</dcterms:created>
  <dcterms:modified xsi:type="dcterms:W3CDTF">2019-08-16T15:31:00Z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